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A3DCA" w14:textId="77777777" w:rsidR="009D7EA7" w:rsidRDefault="009D7EA7" w:rsidP="009D7EA7">
      <w:pPr>
        <w:pStyle w:val="NoSpacing"/>
        <w:ind w:firstLine="720"/>
        <w:rPr>
          <w:color w:val="404040"/>
          <w:spacing w:val="-7"/>
          <w:w w:val="105"/>
          <w:sz w:val="36"/>
        </w:rPr>
      </w:pPr>
      <w:r>
        <w:rPr>
          <w:rFonts w:ascii="Times New Roman"/>
          <w:noProof/>
          <w:sz w:val="20"/>
        </w:rPr>
        <w:drawing>
          <wp:inline distT="0" distB="0" distL="0" distR="0" wp14:anchorId="0157A5C6" wp14:editId="1A7F4E63">
            <wp:extent cx="1745960" cy="6800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45960" cy="680084"/>
                    </a:xfrm>
                    <a:prstGeom prst="rect">
                      <a:avLst/>
                    </a:prstGeom>
                  </pic:spPr>
                </pic:pic>
              </a:graphicData>
            </a:graphic>
          </wp:inline>
        </w:drawing>
      </w:r>
    </w:p>
    <w:p w14:paraId="5F5D6694" w14:textId="77777777" w:rsidR="009D7EA7" w:rsidRDefault="009D7EA7" w:rsidP="009D7EA7">
      <w:pPr>
        <w:pStyle w:val="NoSpacing"/>
        <w:rPr>
          <w:color w:val="404040"/>
          <w:spacing w:val="-7"/>
          <w:w w:val="105"/>
          <w:sz w:val="36"/>
        </w:rPr>
      </w:pPr>
    </w:p>
    <w:p w14:paraId="3D12BF8F" w14:textId="77777777" w:rsidR="009D7EA7" w:rsidRPr="009D7EA7" w:rsidRDefault="009D7EA7" w:rsidP="009D7EA7">
      <w:pPr>
        <w:pStyle w:val="NoSpacing"/>
        <w:jc w:val="center"/>
        <w:rPr>
          <w:b/>
          <w:bCs/>
          <w:color w:val="404040"/>
          <w:spacing w:val="-7"/>
          <w:w w:val="105"/>
          <w:sz w:val="36"/>
        </w:rPr>
      </w:pPr>
    </w:p>
    <w:p w14:paraId="70EC52E5" w14:textId="54CEFB5C" w:rsidR="009D7EA7" w:rsidRPr="009D7EA7" w:rsidRDefault="009D7EA7" w:rsidP="009D7EA7">
      <w:pPr>
        <w:pStyle w:val="NoSpacing"/>
        <w:jc w:val="center"/>
        <w:rPr>
          <w:b/>
          <w:bCs/>
          <w:color w:val="404040"/>
          <w:spacing w:val="-7"/>
          <w:w w:val="105"/>
          <w:sz w:val="36"/>
        </w:rPr>
      </w:pPr>
      <w:r w:rsidRPr="009D7EA7">
        <w:rPr>
          <w:b/>
          <w:bCs/>
          <w:color w:val="404040"/>
          <w:spacing w:val="-7"/>
          <w:w w:val="105"/>
          <w:sz w:val="36"/>
        </w:rPr>
        <w:t>PANDEMIC PLAN FRAMEWORK</w:t>
      </w:r>
    </w:p>
    <w:p w14:paraId="0334BA50" w14:textId="77777777" w:rsidR="009D7EA7" w:rsidRDefault="009D7EA7" w:rsidP="009D7EA7">
      <w:pPr>
        <w:pStyle w:val="NoSpacing"/>
        <w:rPr>
          <w:color w:val="404040"/>
          <w:spacing w:val="-7"/>
          <w:w w:val="105"/>
          <w:sz w:val="36"/>
        </w:rPr>
      </w:pPr>
    </w:p>
    <w:p w14:paraId="2FB58F4F" w14:textId="4FBE9CEB" w:rsidR="009D7EA7" w:rsidRPr="00322635" w:rsidRDefault="009D7EA7" w:rsidP="00322635">
      <w:pPr>
        <w:ind w:left="279" w:firstLine="288"/>
        <w:rPr>
          <w:b/>
          <w:bCs/>
          <w:color w:val="03969E"/>
          <w:sz w:val="36"/>
          <w:szCs w:val="24"/>
        </w:rPr>
      </w:pPr>
      <w:r w:rsidRPr="00322635">
        <w:rPr>
          <w:b/>
          <w:bCs/>
          <w:color w:val="03969E"/>
          <w:sz w:val="36"/>
          <w:szCs w:val="24"/>
        </w:rPr>
        <w:t>COVID-19 Risk Assessment Tool</w:t>
      </w:r>
    </w:p>
    <w:p w14:paraId="5E96C59A" w14:textId="592783CE" w:rsidR="009D7EA7" w:rsidRDefault="009D7EA7" w:rsidP="009D7EA7">
      <w:pPr>
        <w:pStyle w:val="NoSpacing"/>
        <w:ind w:left="567"/>
        <w:rPr>
          <w:color w:val="404040"/>
          <w:spacing w:val="-6"/>
          <w:w w:val="105"/>
          <w:sz w:val="36"/>
        </w:rPr>
      </w:pPr>
    </w:p>
    <w:p w14:paraId="569818AC" w14:textId="09C505E9" w:rsidR="009D7EA7" w:rsidRDefault="009D7EA7" w:rsidP="009D7EA7">
      <w:pPr>
        <w:widowControl w:val="0"/>
        <w:autoSpaceDE w:val="0"/>
        <w:autoSpaceDN w:val="0"/>
        <w:spacing w:before="170" w:after="0" w:line="388" w:lineRule="auto"/>
        <w:ind w:left="567" w:right="310"/>
        <w:rPr>
          <w:rFonts w:ascii="Tahoma" w:eastAsia="Tahoma" w:hAnsi="Tahoma" w:cs="Tahoma"/>
          <w:color w:val="404040"/>
          <w:sz w:val="24"/>
          <w:lang w:val="en-CA" w:eastAsia="en-CA" w:bidi="en-CA"/>
        </w:rPr>
      </w:pPr>
      <w:r w:rsidRPr="009D7EA7">
        <w:rPr>
          <w:rFonts w:ascii="Tahoma" w:eastAsia="Tahoma" w:hAnsi="Tahoma" w:cs="Tahoma"/>
          <w:color w:val="404040"/>
          <w:sz w:val="24"/>
          <w:lang w:val="en-CA" w:eastAsia="en-CA" w:bidi="en-CA"/>
        </w:rPr>
        <w:t>Author</w:t>
      </w:r>
      <w:r w:rsidR="00322635">
        <w:rPr>
          <w:rFonts w:ascii="Tahoma" w:eastAsia="Tahoma" w:hAnsi="Tahoma" w:cs="Tahoma"/>
          <w:color w:val="404040"/>
          <w:sz w:val="24"/>
          <w:lang w:val="en-CA" w:eastAsia="en-CA" w:bidi="en-CA"/>
        </w:rPr>
        <w:t>-</w:t>
      </w:r>
      <w:r w:rsidRPr="009D7EA7">
        <w:rPr>
          <w:rFonts w:ascii="Tahoma" w:eastAsia="Tahoma" w:hAnsi="Tahoma" w:cs="Tahoma"/>
          <w:color w:val="404040"/>
          <w:sz w:val="24"/>
          <w:lang w:val="en-CA" w:eastAsia="en-CA" w:bidi="en-CA"/>
        </w:rPr>
        <w:t xml:space="preserve"> Hamilton Developmental Services Sector Committee in</w:t>
      </w:r>
      <w:r>
        <w:rPr>
          <w:rFonts w:ascii="Tahoma" w:eastAsia="Tahoma" w:hAnsi="Tahoma" w:cs="Tahoma"/>
          <w:color w:val="404040"/>
          <w:sz w:val="24"/>
          <w:lang w:val="en-CA" w:eastAsia="en-CA" w:bidi="en-CA"/>
        </w:rPr>
        <w:t xml:space="preserve"> </w:t>
      </w:r>
      <w:r w:rsidRPr="009D7EA7">
        <w:rPr>
          <w:rFonts w:ascii="Tahoma" w:eastAsia="Tahoma" w:hAnsi="Tahoma" w:cs="Tahoma"/>
          <w:color w:val="404040"/>
          <w:sz w:val="24"/>
          <w:lang w:val="en-CA" w:eastAsia="en-CA" w:bidi="en-CA"/>
        </w:rPr>
        <w:t>Consultation with Hamilton Public Health</w:t>
      </w:r>
    </w:p>
    <w:p w14:paraId="66808333" w14:textId="4722FCAC" w:rsidR="00FD1342" w:rsidRDefault="00FD1342" w:rsidP="009D7EA7">
      <w:pPr>
        <w:widowControl w:val="0"/>
        <w:autoSpaceDE w:val="0"/>
        <w:autoSpaceDN w:val="0"/>
        <w:spacing w:before="170" w:after="0" w:line="388" w:lineRule="auto"/>
        <w:ind w:left="567" w:right="310"/>
        <w:rPr>
          <w:rFonts w:ascii="Tahoma" w:eastAsia="Tahoma" w:hAnsi="Tahoma" w:cs="Tahoma"/>
          <w:color w:val="404040"/>
          <w:sz w:val="24"/>
          <w:lang w:val="en-CA" w:eastAsia="en-CA" w:bidi="en-CA"/>
        </w:rPr>
      </w:pPr>
      <w:r>
        <w:rPr>
          <w:rFonts w:ascii="Tahoma" w:eastAsia="Tahoma" w:hAnsi="Tahoma" w:cs="Tahoma"/>
          <w:color w:val="404040"/>
          <w:sz w:val="24"/>
          <w:lang w:val="en-CA" w:eastAsia="en-CA" w:bidi="en-CA"/>
        </w:rPr>
        <w:t xml:space="preserve">Legal Content Review and Input- Brendon Pooran, </w:t>
      </w:r>
      <w:proofErr w:type="spellStart"/>
      <w:r>
        <w:rPr>
          <w:rFonts w:ascii="Tahoma" w:eastAsia="Tahoma" w:hAnsi="Tahoma" w:cs="Tahoma"/>
          <w:color w:val="404040"/>
          <w:sz w:val="24"/>
          <w:lang w:val="en-CA" w:eastAsia="en-CA" w:bidi="en-CA"/>
        </w:rPr>
        <w:t>PooranLaw</w:t>
      </w:r>
      <w:proofErr w:type="spellEnd"/>
    </w:p>
    <w:p w14:paraId="37A3BB1D" w14:textId="2B9F6204" w:rsidR="009D7EA7" w:rsidRPr="009D7EA7" w:rsidRDefault="009D7EA7" w:rsidP="009D7EA7">
      <w:pPr>
        <w:widowControl w:val="0"/>
        <w:autoSpaceDE w:val="0"/>
        <w:autoSpaceDN w:val="0"/>
        <w:spacing w:before="170" w:after="0" w:line="388" w:lineRule="auto"/>
        <w:ind w:right="3080" w:firstLine="567"/>
        <w:rPr>
          <w:rFonts w:ascii="Tahoma" w:eastAsia="Tahoma" w:hAnsi="Tahoma" w:cs="Tahoma"/>
          <w:color w:val="404040"/>
          <w:sz w:val="24"/>
          <w:lang w:val="en-CA" w:eastAsia="en-CA" w:bidi="en-CA"/>
        </w:rPr>
      </w:pPr>
      <w:r w:rsidRPr="009D7EA7">
        <w:rPr>
          <w:rFonts w:ascii="Tahoma" w:eastAsia="Tahoma" w:hAnsi="Tahoma" w:cs="Tahoma"/>
          <w:color w:val="404040"/>
          <w:sz w:val="24"/>
          <w:lang w:val="en-CA" w:eastAsia="en-CA" w:bidi="en-CA"/>
        </w:rPr>
        <w:t xml:space="preserve">Version 1.0- </w:t>
      </w:r>
      <w:r>
        <w:rPr>
          <w:rFonts w:ascii="Tahoma" w:eastAsia="Tahoma" w:hAnsi="Tahoma" w:cs="Tahoma"/>
          <w:color w:val="404040"/>
          <w:sz w:val="24"/>
          <w:lang w:val="en-CA" w:eastAsia="en-CA" w:bidi="en-CA"/>
        </w:rPr>
        <w:t xml:space="preserve">October </w:t>
      </w:r>
      <w:r w:rsidRPr="009D7EA7">
        <w:rPr>
          <w:rFonts w:ascii="Tahoma" w:eastAsia="Tahoma" w:hAnsi="Tahoma" w:cs="Tahoma"/>
          <w:color w:val="404040"/>
          <w:sz w:val="24"/>
          <w:lang w:val="en-CA" w:eastAsia="en-CA" w:bidi="en-CA"/>
        </w:rPr>
        <w:t>2020</w:t>
      </w:r>
    </w:p>
    <w:p w14:paraId="56831B24" w14:textId="77777777" w:rsidR="009D7EA7" w:rsidRPr="009D7EA7" w:rsidRDefault="009D7EA7" w:rsidP="009D7EA7">
      <w:pPr>
        <w:ind w:left="279" w:firstLine="288"/>
        <w:rPr>
          <w:b/>
          <w:bCs/>
          <w:color w:val="03969E"/>
          <w:sz w:val="32"/>
        </w:rPr>
      </w:pPr>
    </w:p>
    <w:p w14:paraId="4D6A5977" w14:textId="5E6CB62E" w:rsidR="009D7EA7" w:rsidRPr="002B0ED9" w:rsidRDefault="009D7EA7" w:rsidP="009D7EA7">
      <w:pPr>
        <w:ind w:left="279" w:firstLine="288"/>
        <w:rPr>
          <w:b/>
          <w:bCs/>
          <w:color w:val="03969E"/>
          <w:sz w:val="36"/>
          <w:szCs w:val="24"/>
        </w:rPr>
      </w:pPr>
      <w:r w:rsidRPr="002B0ED9">
        <w:rPr>
          <w:b/>
          <w:bCs/>
          <w:color w:val="03969E"/>
          <w:sz w:val="36"/>
          <w:szCs w:val="24"/>
        </w:rPr>
        <w:t>Content</w:t>
      </w:r>
    </w:p>
    <w:p w14:paraId="0B95F727" w14:textId="48AD13A3" w:rsidR="00322635" w:rsidRPr="00322635" w:rsidRDefault="00322635" w:rsidP="00322635">
      <w:pPr>
        <w:widowControl w:val="0"/>
        <w:autoSpaceDE w:val="0"/>
        <w:autoSpaceDN w:val="0"/>
        <w:spacing w:before="170" w:after="0" w:line="388" w:lineRule="auto"/>
        <w:ind w:left="567" w:right="310"/>
        <w:rPr>
          <w:rFonts w:ascii="Tahoma" w:eastAsia="Tahoma" w:hAnsi="Tahoma" w:cs="Tahoma"/>
          <w:color w:val="404040"/>
          <w:sz w:val="24"/>
          <w:lang w:val="en-CA" w:eastAsia="en-CA" w:bidi="en-CA"/>
        </w:rPr>
      </w:pPr>
      <w:r w:rsidRPr="00322635">
        <w:rPr>
          <w:rFonts w:ascii="Tahoma" w:eastAsia="Tahoma" w:hAnsi="Tahoma" w:cs="Tahoma"/>
          <w:color w:val="404040"/>
          <w:sz w:val="24"/>
          <w:lang w:val="en-CA" w:eastAsia="en-CA" w:bidi="en-CA"/>
        </w:rPr>
        <w:t>Guidelines for Use</w:t>
      </w:r>
      <w:r w:rsidRPr="00322635">
        <w:rPr>
          <w:rFonts w:ascii="Tahoma" w:eastAsia="Tahoma" w:hAnsi="Tahoma" w:cs="Tahoma"/>
          <w:color w:val="404040"/>
          <w:sz w:val="24"/>
          <w:lang w:val="en-CA" w:eastAsia="en-CA" w:bidi="en-CA"/>
        </w:rPr>
        <w:tab/>
      </w:r>
      <w:r w:rsidRPr="00322635">
        <w:rPr>
          <w:rFonts w:ascii="Tahoma" w:eastAsia="Tahoma" w:hAnsi="Tahoma" w:cs="Tahoma"/>
          <w:color w:val="404040"/>
          <w:sz w:val="24"/>
          <w:lang w:val="en-CA" w:eastAsia="en-CA" w:bidi="en-CA"/>
        </w:rPr>
        <w:tab/>
      </w:r>
      <w:r w:rsidRPr="00322635">
        <w:rPr>
          <w:rFonts w:ascii="Tahoma" w:eastAsia="Tahoma" w:hAnsi="Tahoma" w:cs="Tahoma"/>
          <w:color w:val="404040"/>
          <w:sz w:val="24"/>
          <w:lang w:val="en-CA" w:eastAsia="en-CA" w:bidi="en-CA"/>
        </w:rPr>
        <w:tab/>
      </w:r>
      <w:r w:rsidRPr="00322635">
        <w:rPr>
          <w:rFonts w:ascii="Tahoma" w:eastAsia="Tahoma" w:hAnsi="Tahoma" w:cs="Tahoma"/>
          <w:color w:val="404040"/>
          <w:sz w:val="24"/>
          <w:lang w:val="en-CA" w:eastAsia="en-CA" w:bidi="en-CA"/>
        </w:rPr>
        <w:tab/>
        <w:t>2</w:t>
      </w:r>
    </w:p>
    <w:p w14:paraId="32D73B3E" w14:textId="64D97300" w:rsidR="00322635" w:rsidRPr="00322635" w:rsidRDefault="00322635" w:rsidP="00322635">
      <w:pPr>
        <w:widowControl w:val="0"/>
        <w:autoSpaceDE w:val="0"/>
        <w:autoSpaceDN w:val="0"/>
        <w:spacing w:before="170" w:after="0" w:line="388" w:lineRule="auto"/>
        <w:ind w:left="567" w:right="310"/>
        <w:rPr>
          <w:rFonts w:ascii="Tahoma" w:eastAsia="Tahoma" w:hAnsi="Tahoma" w:cs="Tahoma"/>
          <w:color w:val="404040"/>
          <w:sz w:val="24"/>
          <w:lang w:val="en-CA" w:eastAsia="en-CA" w:bidi="en-CA"/>
        </w:rPr>
      </w:pPr>
      <w:r w:rsidRPr="00322635">
        <w:rPr>
          <w:rFonts w:ascii="Tahoma" w:eastAsia="Tahoma" w:hAnsi="Tahoma" w:cs="Tahoma"/>
          <w:color w:val="404040"/>
          <w:sz w:val="24"/>
          <w:lang w:val="en-CA" w:eastAsia="en-CA" w:bidi="en-CA"/>
        </w:rPr>
        <w:t>Determining Risk Impact</w:t>
      </w:r>
      <w:r w:rsidRPr="00322635">
        <w:rPr>
          <w:rFonts w:ascii="Tahoma" w:eastAsia="Tahoma" w:hAnsi="Tahoma" w:cs="Tahoma"/>
          <w:color w:val="404040"/>
          <w:sz w:val="24"/>
          <w:lang w:val="en-CA" w:eastAsia="en-CA" w:bidi="en-CA"/>
        </w:rPr>
        <w:tab/>
      </w:r>
      <w:r w:rsidRPr="00322635">
        <w:rPr>
          <w:rFonts w:ascii="Tahoma" w:eastAsia="Tahoma" w:hAnsi="Tahoma" w:cs="Tahoma"/>
          <w:color w:val="404040"/>
          <w:sz w:val="24"/>
          <w:lang w:val="en-CA" w:eastAsia="en-CA" w:bidi="en-CA"/>
        </w:rPr>
        <w:tab/>
      </w:r>
      <w:r w:rsidRPr="00322635">
        <w:rPr>
          <w:rFonts w:ascii="Tahoma" w:eastAsia="Tahoma" w:hAnsi="Tahoma" w:cs="Tahoma"/>
          <w:color w:val="404040"/>
          <w:sz w:val="24"/>
          <w:lang w:val="en-CA" w:eastAsia="en-CA" w:bidi="en-CA"/>
        </w:rPr>
        <w:tab/>
        <w:t>3-4</w:t>
      </w:r>
    </w:p>
    <w:p w14:paraId="051DB3CD" w14:textId="2FE878B8" w:rsidR="00322635" w:rsidRPr="00322635" w:rsidRDefault="00322635" w:rsidP="00322635">
      <w:pPr>
        <w:widowControl w:val="0"/>
        <w:autoSpaceDE w:val="0"/>
        <w:autoSpaceDN w:val="0"/>
        <w:spacing w:before="170" w:after="0" w:line="388" w:lineRule="auto"/>
        <w:ind w:left="567" w:right="310"/>
        <w:rPr>
          <w:rFonts w:ascii="Tahoma" w:eastAsia="Tahoma" w:hAnsi="Tahoma" w:cs="Tahoma"/>
          <w:color w:val="404040"/>
          <w:sz w:val="24"/>
          <w:lang w:val="en-CA" w:eastAsia="en-CA" w:bidi="en-CA"/>
        </w:rPr>
      </w:pPr>
      <w:r w:rsidRPr="00322635">
        <w:rPr>
          <w:rFonts w:ascii="Tahoma" w:eastAsia="Tahoma" w:hAnsi="Tahoma" w:cs="Tahoma"/>
          <w:color w:val="404040"/>
          <w:sz w:val="24"/>
          <w:lang w:val="en-CA" w:eastAsia="en-CA" w:bidi="en-CA"/>
        </w:rPr>
        <w:t>Legal Considerations</w:t>
      </w:r>
      <w:r w:rsidRPr="00322635">
        <w:rPr>
          <w:rFonts w:ascii="Tahoma" w:eastAsia="Tahoma" w:hAnsi="Tahoma" w:cs="Tahoma"/>
          <w:color w:val="404040"/>
          <w:sz w:val="24"/>
          <w:lang w:val="en-CA" w:eastAsia="en-CA" w:bidi="en-CA"/>
        </w:rPr>
        <w:tab/>
      </w:r>
      <w:r w:rsidRPr="00322635">
        <w:rPr>
          <w:rFonts w:ascii="Tahoma" w:eastAsia="Tahoma" w:hAnsi="Tahoma" w:cs="Tahoma"/>
          <w:color w:val="404040"/>
          <w:sz w:val="24"/>
          <w:lang w:val="en-CA" w:eastAsia="en-CA" w:bidi="en-CA"/>
        </w:rPr>
        <w:tab/>
      </w:r>
      <w:r w:rsidRPr="00322635">
        <w:rPr>
          <w:rFonts w:ascii="Tahoma" w:eastAsia="Tahoma" w:hAnsi="Tahoma" w:cs="Tahoma"/>
          <w:color w:val="404040"/>
          <w:sz w:val="24"/>
          <w:lang w:val="en-CA" w:eastAsia="en-CA" w:bidi="en-CA"/>
        </w:rPr>
        <w:tab/>
      </w:r>
      <w:r w:rsidRPr="00322635">
        <w:rPr>
          <w:rFonts w:ascii="Tahoma" w:eastAsia="Tahoma" w:hAnsi="Tahoma" w:cs="Tahoma"/>
          <w:color w:val="404040"/>
          <w:sz w:val="24"/>
          <w:lang w:val="en-CA" w:eastAsia="en-CA" w:bidi="en-CA"/>
        </w:rPr>
        <w:tab/>
        <w:t>5-6</w:t>
      </w:r>
    </w:p>
    <w:p w14:paraId="4C2AA7C4" w14:textId="32391B55" w:rsidR="00322635" w:rsidRDefault="00322635" w:rsidP="009D7EA7">
      <w:pPr>
        <w:ind w:left="279" w:firstLine="288"/>
        <w:rPr>
          <w:b/>
          <w:bCs/>
          <w:color w:val="03969E"/>
          <w:sz w:val="32"/>
        </w:rPr>
      </w:pPr>
    </w:p>
    <w:p w14:paraId="49CC41B5" w14:textId="7B196620" w:rsidR="009D7EA7" w:rsidRDefault="009D7EA7" w:rsidP="009D7EA7">
      <w:pPr>
        <w:rPr>
          <w:b/>
          <w:bCs/>
          <w:sz w:val="32"/>
        </w:rPr>
      </w:pPr>
    </w:p>
    <w:p w14:paraId="186FC334" w14:textId="12A052D2" w:rsidR="00322635" w:rsidRDefault="00322635" w:rsidP="009D7EA7">
      <w:pPr>
        <w:rPr>
          <w:b/>
          <w:bCs/>
          <w:sz w:val="32"/>
        </w:rPr>
      </w:pPr>
    </w:p>
    <w:p w14:paraId="2B960D38" w14:textId="77777777" w:rsidR="00322635" w:rsidRPr="009D7EA7" w:rsidRDefault="00322635" w:rsidP="009D7EA7">
      <w:pPr>
        <w:rPr>
          <w:b/>
          <w:bCs/>
          <w:sz w:val="32"/>
        </w:rPr>
      </w:pPr>
    </w:p>
    <w:p w14:paraId="5BF84E06" w14:textId="77777777" w:rsidR="009D7EA7" w:rsidRDefault="009D7EA7" w:rsidP="009D7EA7">
      <w:pPr>
        <w:pStyle w:val="NoSpacing"/>
        <w:ind w:left="567"/>
        <w:rPr>
          <w:sz w:val="36"/>
        </w:rPr>
      </w:pPr>
    </w:p>
    <w:p w14:paraId="537AF92A" w14:textId="09ECA09C" w:rsidR="009D7EA7" w:rsidRPr="009D7EA7" w:rsidRDefault="009D7EA7">
      <w:pPr>
        <w:rPr>
          <w:rFonts w:cstheme="minorHAnsi"/>
          <w:b/>
          <w:color w:val="2F5496" w:themeColor="accent1" w:themeShade="BF"/>
        </w:rPr>
      </w:pPr>
      <w:r>
        <w:rPr>
          <w:rFonts w:cstheme="minorHAnsi"/>
          <w:b/>
          <w:color w:val="2F5496" w:themeColor="accent1" w:themeShade="BF"/>
        </w:rPr>
        <w:tab/>
      </w:r>
    </w:p>
    <w:p w14:paraId="30816022" w14:textId="35351D6B" w:rsidR="009D7EA7" w:rsidRDefault="009D7EA7">
      <w:pPr>
        <w:rPr>
          <w:rFonts w:cstheme="minorHAnsi"/>
          <w:b/>
          <w:color w:val="2F5496" w:themeColor="accent1" w:themeShade="BF"/>
          <w:u w:val="single"/>
        </w:rPr>
      </w:pPr>
    </w:p>
    <w:p w14:paraId="51B66005" w14:textId="5C8E8AF6" w:rsidR="009D7EA7" w:rsidRDefault="009D7EA7">
      <w:pPr>
        <w:rPr>
          <w:rFonts w:cstheme="minorHAnsi"/>
          <w:b/>
          <w:color w:val="2F5496" w:themeColor="accent1" w:themeShade="BF"/>
          <w:u w:val="single"/>
        </w:rPr>
      </w:pPr>
    </w:p>
    <w:p w14:paraId="6375F5D4" w14:textId="3F64A686" w:rsidR="009D7EA7" w:rsidRDefault="009D7EA7">
      <w:pPr>
        <w:rPr>
          <w:rFonts w:cstheme="minorHAnsi"/>
          <w:b/>
          <w:color w:val="2F5496" w:themeColor="accent1" w:themeShade="BF"/>
          <w:u w:val="single"/>
        </w:rPr>
      </w:pPr>
    </w:p>
    <w:p w14:paraId="13553AB9" w14:textId="47BA8F18" w:rsidR="009D7EA7" w:rsidRDefault="009D7EA7">
      <w:pPr>
        <w:rPr>
          <w:rFonts w:cstheme="minorHAnsi"/>
          <w:b/>
          <w:color w:val="2F5496" w:themeColor="accent1" w:themeShade="BF"/>
          <w:u w:val="single"/>
        </w:rPr>
      </w:pPr>
    </w:p>
    <w:p w14:paraId="07100FAE" w14:textId="6468E9BD" w:rsidR="00F82B0F" w:rsidRPr="00907880" w:rsidRDefault="001A6D3A" w:rsidP="00C565A1">
      <w:pPr>
        <w:pStyle w:val="NoSpacing"/>
        <w:rPr>
          <w:rFonts w:asciiTheme="minorHAnsi" w:hAnsiTheme="minorHAnsi" w:cstheme="minorHAnsi"/>
          <w:b/>
          <w:color w:val="2F5496" w:themeColor="accent1" w:themeShade="BF"/>
          <w:u w:val="single"/>
        </w:rPr>
      </w:pPr>
      <w:r w:rsidRPr="00907880">
        <w:rPr>
          <w:rFonts w:asciiTheme="minorHAnsi" w:hAnsiTheme="minorHAnsi" w:cstheme="minorHAnsi"/>
          <w:b/>
          <w:color w:val="2F5496" w:themeColor="accent1" w:themeShade="BF"/>
          <w:u w:val="single"/>
        </w:rPr>
        <w:lastRenderedPageBreak/>
        <w:t xml:space="preserve">RISK ASSESSMENT </w:t>
      </w:r>
      <w:r w:rsidR="00C565A1" w:rsidRPr="00907880">
        <w:rPr>
          <w:rFonts w:asciiTheme="minorHAnsi" w:hAnsiTheme="minorHAnsi" w:cstheme="minorHAnsi"/>
          <w:b/>
          <w:color w:val="2F5496" w:themeColor="accent1" w:themeShade="BF"/>
          <w:u w:val="single"/>
        </w:rPr>
        <w:t>TOOL</w:t>
      </w:r>
      <w:r w:rsidR="00A42567" w:rsidRPr="00907880">
        <w:rPr>
          <w:rFonts w:asciiTheme="minorHAnsi" w:hAnsiTheme="minorHAnsi" w:cstheme="minorHAnsi"/>
          <w:b/>
          <w:color w:val="2F5496" w:themeColor="accent1" w:themeShade="BF"/>
          <w:u w:val="single"/>
        </w:rPr>
        <w:t xml:space="preserve"> – Guidelines for Use</w:t>
      </w:r>
    </w:p>
    <w:p w14:paraId="4A89D961" w14:textId="6034AA2F" w:rsidR="00364C89" w:rsidRDefault="00C565A1" w:rsidP="00C565A1">
      <w:pPr>
        <w:pStyle w:val="NoSpacing"/>
        <w:rPr>
          <w:rFonts w:asciiTheme="minorHAnsi" w:hAnsiTheme="minorHAnsi" w:cstheme="minorHAnsi"/>
          <w:b/>
          <w:color w:val="2F5496" w:themeColor="accent1" w:themeShade="BF"/>
        </w:rPr>
      </w:pPr>
      <w:r>
        <w:rPr>
          <w:rFonts w:asciiTheme="minorHAnsi" w:hAnsiTheme="minorHAnsi" w:cstheme="minorHAnsi"/>
          <w:b/>
          <w:color w:val="2F5496" w:themeColor="accent1" w:themeShade="BF"/>
        </w:rPr>
        <w:t xml:space="preserve">Developed by the </w:t>
      </w:r>
      <w:bookmarkStart w:id="0" w:name="_Hlk63407301"/>
      <w:r>
        <w:rPr>
          <w:rFonts w:asciiTheme="minorHAnsi" w:hAnsiTheme="minorHAnsi" w:cstheme="minorHAnsi"/>
          <w:b/>
          <w:color w:val="2F5496" w:themeColor="accent1" w:themeShade="BF"/>
        </w:rPr>
        <w:t>Hamilton Developmental Services Sector Committee</w:t>
      </w:r>
      <w:r w:rsidR="00907880">
        <w:rPr>
          <w:rFonts w:asciiTheme="minorHAnsi" w:hAnsiTheme="minorHAnsi" w:cstheme="minorHAnsi"/>
          <w:b/>
          <w:color w:val="2F5496" w:themeColor="accent1" w:themeShade="BF"/>
        </w:rPr>
        <w:t xml:space="preserve"> </w:t>
      </w:r>
      <w:r w:rsidR="00A42567">
        <w:rPr>
          <w:rFonts w:asciiTheme="minorHAnsi" w:hAnsiTheme="minorHAnsi" w:cstheme="minorHAnsi"/>
          <w:b/>
          <w:color w:val="2F5496" w:themeColor="accent1" w:themeShade="BF"/>
        </w:rPr>
        <w:t>in</w:t>
      </w:r>
      <w:r w:rsidR="00364C89">
        <w:rPr>
          <w:rFonts w:asciiTheme="minorHAnsi" w:hAnsiTheme="minorHAnsi" w:cstheme="minorHAnsi"/>
          <w:b/>
          <w:color w:val="2F5496" w:themeColor="accent1" w:themeShade="BF"/>
        </w:rPr>
        <w:t xml:space="preserve"> </w:t>
      </w:r>
      <w:r w:rsidR="000F0569">
        <w:rPr>
          <w:rFonts w:asciiTheme="minorHAnsi" w:hAnsiTheme="minorHAnsi" w:cstheme="minorHAnsi"/>
          <w:b/>
          <w:color w:val="2F5496" w:themeColor="accent1" w:themeShade="BF"/>
        </w:rPr>
        <w:t>C</w:t>
      </w:r>
      <w:r w:rsidR="00364C89">
        <w:rPr>
          <w:rFonts w:asciiTheme="minorHAnsi" w:hAnsiTheme="minorHAnsi" w:cstheme="minorHAnsi"/>
          <w:b/>
          <w:color w:val="2F5496" w:themeColor="accent1" w:themeShade="BF"/>
        </w:rPr>
        <w:t>onsultation with Hamilton Public Health</w:t>
      </w:r>
      <w:bookmarkEnd w:id="0"/>
    </w:p>
    <w:p w14:paraId="4EC3D6A2" w14:textId="01BAF20D" w:rsidR="008A6FC6" w:rsidRPr="00834B8F" w:rsidRDefault="008A6FC6" w:rsidP="00C565A1">
      <w:pPr>
        <w:pBdr>
          <w:bottom w:val="single" w:sz="12" w:space="1" w:color="auto"/>
        </w:pBdr>
        <w:spacing w:line="256" w:lineRule="auto"/>
        <w:rPr>
          <w:rFonts w:eastAsia="Calibri" w:cstheme="minorHAnsi"/>
          <w:sz w:val="20"/>
          <w:lang w:val="en-CA"/>
        </w:rPr>
      </w:pPr>
      <w:bookmarkStart w:id="1" w:name="_Toc295196240"/>
    </w:p>
    <w:bookmarkEnd w:id="1"/>
    <w:p w14:paraId="220CFA59" w14:textId="4B69D432" w:rsidR="001A6D3A" w:rsidRPr="001A6D3A" w:rsidRDefault="001A6D3A" w:rsidP="001A6D3A">
      <w:pPr>
        <w:shd w:val="clear" w:color="auto" w:fill="FFFFFF"/>
        <w:spacing w:before="100" w:beforeAutospacing="1" w:after="100" w:afterAutospacing="1" w:line="240" w:lineRule="auto"/>
        <w:outlineLvl w:val="1"/>
        <w:rPr>
          <w:rFonts w:eastAsia="Times New Roman" w:cstheme="minorHAnsi"/>
          <w:b/>
          <w:bCs/>
        </w:rPr>
      </w:pPr>
      <w:r w:rsidRPr="001A6D3A">
        <w:rPr>
          <w:rFonts w:eastAsia="Times New Roman" w:cstheme="minorHAnsi"/>
          <w:b/>
          <w:bCs/>
        </w:rPr>
        <w:t xml:space="preserve">What is </w:t>
      </w:r>
      <w:r w:rsidR="007A5958">
        <w:rPr>
          <w:rFonts w:eastAsia="Times New Roman" w:cstheme="minorHAnsi"/>
          <w:b/>
          <w:bCs/>
        </w:rPr>
        <w:t xml:space="preserve">the purpose of the </w:t>
      </w:r>
      <w:r w:rsidR="00664F6C">
        <w:rPr>
          <w:rFonts w:eastAsia="Times New Roman" w:cstheme="minorHAnsi"/>
          <w:b/>
          <w:bCs/>
        </w:rPr>
        <w:t>R</w:t>
      </w:r>
      <w:r w:rsidRPr="001A6D3A">
        <w:rPr>
          <w:rFonts w:eastAsia="Times New Roman" w:cstheme="minorHAnsi"/>
          <w:b/>
          <w:bCs/>
        </w:rPr>
        <w:t xml:space="preserve">isk </w:t>
      </w:r>
      <w:r w:rsidR="00664F6C">
        <w:rPr>
          <w:rFonts w:eastAsia="Times New Roman" w:cstheme="minorHAnsi"/>
          <w:b/>
          <w:bCs/>
        </w:rPr>
        <w:t>A</w:t>
      </w:r>
      <w:r w:rsidRPr="001A6D3A">
        <w:rPr>
          <w:rFonts w:eastAsia="Times New Roman" w:cstheme="minorHAnsi"/>
          <w:b/>
          <w:bCs/>
        </w:rPr>
        <w:t>ssessment</w:t>
      </w:r>
      <w:r w:rsidR="00664F6C">
        <w:rPr>
          <w:rFonts w:eastAsia="Times New Roman" w:cstheme="minorHAnsi"/>
          <w:b/>
          <w:bCs/>
        </w:rPr>
        <w:t xml:space="preserve"> Tool</w:t>
      </w:r>
      <w:r w:rsidRPr="001A6D3A">
        <w:rPr>
          <w:rFonts w:eastAsia="Times New Roman" w:cstheme="minorHAnsi"/>
          <w:b/>
          <w:bCs/>
        </w:rPr>
        <w:t>?</w:t>
      </w:r>
    </w:p>
    <w:p w14:paraId="29461407" w14:textId="1C1C313B" w:rsidR="001A6D3A" w:rsidRPr="001A6D3A" w:rsidRDefault="007A5958" w:rsidP="001A6D3A">
      <w:pPr>
        <w:numPr>
          <w:ilvl w:val="0"/>
          <w:numId w:val="20"/>
        </w:numPr>
        <w:shd w:val="clear" w:color="auto" w:fill="FFFFFF"/>
        <w:spacing w:after="0" w:line="240" w:lineRule="auto"/>
        <w:rPr>
          <w:rFonts w:eastAsia="Times New Roman" w:cstheme="minorHAnsi"/>
        </w:rPr>
      </w:pPr>
      <w:r>
        <w:rPr>
          <w:rFonts w:eastAsia="Times New Roman" w:cstheme="minorHAnsi"/>
        </w:rPr>
        <w:t xml:space="preserve">To </w:t>
      </w:r>
      <w:r w:rsidR="00824D63">
        <w:rPr>
          <w:rFonts w:eastAsia="Times New Roman" w:cstheme="minorHAnsi"/>
        </w:rPr>
        <w:t>assess the level of risk of persons supported participating in community activities.</w:t>
      </w:r>
    </w:p>
    <w:p w14:paraId="007B0A51" w14:textId="23B2C946" w:rsidR="001A6D3A" w:rsidRPr="001A6D3A" w:rsidRDefault="007A5958" w:rsidP="001A6D3A">
      <w:pPr>
        <w:numPr>
          <w:ilvl w:val="0"/>
          <w:numId w:val="20"/>
        </w:numPr>
        <w:shd w:val="clear" w:color="auto" w:fill="FFFFFF"/>
        <w:spacing w:after="0" w:line="240" w:lineRule="auto"/>
        <w:rPr>
          <w:rFonts w:eastAsia="Times New Roman" w:cstheme="minorHAnsi"/>
        </w:rPr>
      </w:pPr>
      <w:r>
        <w:rPr>
          <w:rFonts w:eastAsia="Times New Roman" w:cstheme="minorHAnsi"/>
        </w:rPr>
        <w:t xml:space="preserve">To </w:t>
      </w:r>
      <w:r w:rsidR="00824D63">
        <w:rPr>
          <w:rFonts w:eastAsia="Times New Roman" w:cstheme="minorHAnsi"/>
        </w:rPr>
        <w:t>identify strategies to mitigate the risk of participating in these activities.</w:t>
      </w:r>
    </w:p>
    <w:p w14:paraId="0B477AA1" w14:textId="2AD3AEB6" w:rsidR="001A6D3A" w:rsidRDefault="007A5958" w:rsidP="001A6D3A">
      <w:pPr>
        <w:numPr>
          <w:ilvl w:val="0"/>
          <w:numId w:val="20"/>
        </w:numPr>
        <w:shd w:val="clear" w:color="auto" w:fill="FFFFFF"/>
        <w:spacing w:after="0" w:line="240" w:lineRule="auto"/>
        <w:rPr>
          <w:rFonts w:eastAsia="Times New Roman" w:cstheme="minorHAnsi"/>
        </w:rPr>
      </w:pPr>
      <w:r>
        <w:rPr>
          <w:rFonts w:eastAsia="Times New Roman" w:cstheme="minorHAnsi"/>
        </w:rPr>
        <w:t>To d</w:t>
      </w:r>
      <w:r w:rsidR="001A6D3A" w:rsidRPr="001A6D3A">
        <w:rPr>
          <w:rFonts w:eastAsia="Times New Roman" w:cstheme="minorHAnsi"/>
        </w:rPr>
        <w:t>e</w:t>
      </w:r>
      <w:r w:rsidR="00824D63">
        <w:rPr>
          <w:rFonts w:eastAsia="Times New Roman" w:cstheme="minorHAnsi"/>
        </w:rPr>
        <w:t>termine the overall level of risk associated with the activity and/or setting</w:t>
      </w:r>
      <w:r w:rsidR="001A6D3A" w:rsidRPr="001A6D3A">
        <w:rPr>
          <w:rFonts w:eastAsia="Times New Roman" w:cstheme="minorHAnsi"/>
        </w:rPr>
        <w:t>.</w:t>
      </w:r>
    </w:p>
    <w:p w14:paraId="15E24673" w14:textId="5B8A2000" w:rsidR="00824D63" w:rsidRDefault="00824D63" w:rsidP="001A6D3A">
      <w:pPr>
        <w:numPr>
          <w:ilvl w:val="0"/>
          <w:numId w:val="20"/>
        </w:numPr>
        <w:shd w:val="clear" w:color="auto" w:fill="FFFFFF"/>
        <w:spacing w:after="0" w:line="240" w:lineRule="auto"/>
        <w:rPr>
          <w:rFonts w:eastAsia="Times New Roman" w:cstheme="minorHAnsi"/>
        </w:rPr>
      </w:pPr>
      <w:r>
        <w:rPr>
          <w:rFonts w:eastAsia="Times New Roman" w:cstheme="minorHAnsi"/>
        </w:rPr>
        <w:t>To assist with the decision to permit a person supported to engage in a specific activity or attend a setting outside of their living arrangement.</w:t>
      </w:r>
    </w:p>
    <w:p w14:paraId="73871DFB" w14:textId="77777777" w:rsidR="003D667F" w:rsidRDefault="003D667F" w:rsidP="00664F6C">
      <w:pPr>
        <w:shd w:val="clear" w:color="auto" w:fill="FFFFFF"/>
        <w:spacing w:after="0" w:line="240" w:lineRule="auto"/>
        <w:rPr>
          <w:rFonts w:eastAsia="Times New Roman" w:cstheme="minorHAnsi"/>
        </w:rPr>
      </w:pPr>
    </w:p>
    <w:p w14:paraId="4BB896CD" w14:textId="50870662" w:rsidR="00664F6C" w:rsidRDefault="003D667F" w:rsidP="00664F6C">
      <w:pPr>
        <w:shd w:val="clear" w:color="auto" w:fill="FFFFFF"/>
        <w:spacing w:after="0" w:line="240" w:lineRule="auto"/>
        <w:rPr>
          <w:rFonts w:eastAsia="Times New Roman" w:cstheme="minorHAnsi"/>
        </w:rPr>
      </w:pPr>
      <w:r w:rsidRPr="003D667F">
        <w:rPr>
          <w:rFonts w:eastAsia="Times New Roman" w:cstheme="minorHAnsi"/>
          <w:b/>
          <w:bCs/>
        </w:rPr>
        <w:t>Caution:</w:t>
      </w:r>
      <w:r>
        <w:rPr>
          <w:rFonts w:eastAsia="Times New Roman" w:cstheme="minorHAnsi"/>
        </w:rPr>
        <w:t xml:space="preserve">  </w:t>
      </w:r>
      <w:r w:rsidR="00C81D66" w:rsidRPr="00364C89">
        <w:rPr>
          <w:rFonts w:eastAsia="Times New Roman" w:cstheme="minorHAnsi"/>
        </w:rPr>
        <w:t xml:space="preserve">It is important to note that while risk mitigation strategies can reduce the risk of COVID-19 infections, they cannot completely eliminate the threat.  It should also be noted that risk assessment is a cyclical process.  Documenting and reporting on the findings of the risk assessment; communicating key messages to participants and staff and monitoring and reviewing the risk assessment must continuously occur </w:t>
      </w:r>
      <w:r w:rsidR="00364C89" w:rsidRPr="00364C89">
        <w:rPr>
          <w:rFonts w:eastAsia="Times New Roman" w:cstheme="minorHAnsi"/>
        </w:rPr>
        <w:t>and be updated to account for changing circumstances and information.</w:t>
      </w:r>
      <w:r>
        <w:rPr>
          <w:rFonts w:eastAsia="Times New Roman" w:cstheme="minorHAnsi"/>
        </w:rPr>
        <w:t xml:space="preserve">  It </w:t>
      </w:r>
      <w:r w:rsidR="00107921">
        <w:rPr>
          <w:rFonts w:eastAsia="Times New Roman" w:cstheme="minorHAnsi"/>
        </w:rPr>
        <w:t xml:space="preserve">is important to note </w:t>
      </w:r>
      <w:r>
        <w:rPr>
          <w:rFonts w:eastAsia="Times New Roman" w:cstheme="minorHAnsi"/>
        </w:rPr>
        <w:t xml:space="preserve">that the tool </w:t>
      </w:r>
      <w:r w:rsidR="00107921">
        <w:rPr>
          <w:rFonts w:eastAsia="Times New Roman" w:cstheme="minorHAnsi"/>
        </w:rPr>
        <w:t>provides guidelines only and is not a definitive decision-making tool to be used in isolation of public health information and guidelines.</w:t>
      </w:r>
    </w:p>
    <w:p w14:paraId="670CAC6D" w14:textId="6C3FAEBB" w:rsidR="00284C68" w:rsidRDefault="00284C68" w:rsidP="00664F6C">
      <w:pPr>
        <w:shd w:val="clear" w:color="auto" w:fill="FFFFFF"/>
        <w:spacing w:after="0" w:line="240" w:lineRule="auto"/>
        <w:rPr>
          <w:rFonts w:eastAsia="Times New Roman" w:cstheme="minorHAnsi"/>
        </w:rPr>
      </w:pPr>
    </w:p>
    <w:p w14:paraId="362CB312" w14:textId="65FB34DA" w:rsidR="006833D3" w:rsidRDefault="006833D3" w:rsidP="00664F6C">
      <w:pPr>
        <w:shd w:val="clear" w:color="auto" w:fill="FFFFFF"/>
        <w:spacing w:after="0" w:line="240" w:lineRule="auto"/>
        <w:rPr>
          <w:rFonts w:eastAsia="Times New Roman" w:cstheme="minorHAnsi"/>
        </w:rPr>
      </w:pPr>
    </w:p>
    <w:p w14:paraId="3210CCE7" w14:textId="62F05339" w:rsidR="00CD1076" w:rsidRPr="00CD1076" w:rsidRDefault="00CD1076" w:rsidP="00F879E2">
      <w:pPr>
        <w:pStyle w:val="Defaul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When to use the tool</w:t>
      </w:r>
      <w:r w:rsidR="003D667F">
        <w:rPr>
          <w:rFonts w:asciiTheme="minorHAnsi" w:eastAsia="Times New Roman" w:hAnsiTheme="minorHAnsi" w:cstheme="minorHAnsi"/>
          <w:b/>
          <w:bCs/>
          <w:sz w:val="22"/>
          <w:szCs w:val="22"/>
        </w:rPr>
        <w:t>:</w:t>
      </w:r>
    </w:p>
    <w:p w14:paraId="6E2C6A2F" w14:textId="77777777" w:rsidR="00CD1076" w:rsidRDefault="00CD1076" w:rsidP="00F879E2">
      <w:pPr>
        <w:pStyle w:val="Default"/>
        <w:rPr>
          <w:rFonts w:asciiTheme="minorHAnsi" w:eastAsia="Times New Roman" w:hAnsiTheme="minorHAnsi" w:cstheme="minorHAnsi"/>
          <w:sz w:val="22"/>
          <w:szCs w:val="22"/>
        </w:rPr>
      </w:pPr>
    </w:p>
    <w:p w14:paraId="594F55AC" w14:textId="691C1CDA" w:rsidR="00F106C9" w:rsidRPr="00F879E2" w:rsidRDefault="00CD1076" w:rsidP="00F879E2">
      <w:pPr>
        <w:pStyle w:val="Default"/>
        <w:rPr>
          <w:rFonts w:asciiTheme="minorHAnsi" w:hAnsiTheme="minorHAnsi" w:cstheme="minorHAnsi"/>
          <w:sz w:val="22"/>
          <w:szCs w:val="22"/>
        </w:rPr>
      </w:pPr>
      <w:r>
        <w:rPr>
          <w:rFonts w:asciiTheme="minorHAnsi" w:eastAsia="Times New Roman" w:hAnsiTheme="minorHAnsi" w:cstheme="minorHAnsi"/>
          <w:sz w:val="22"/>
          <w:szCs w:val="22"/>
        </w:rPr>
        <w:t>The</w:t>
      </w:r>
      <w:r w:rsidR="001A6D3A" w:rsidRPr="00F879E2">
        <w:rPr>
          <w:rFonts w:asciiTheme="minorHAnsi" w:eastAsia="Times New Roman" w:hAnsiTheme="minorHAnsi" w:cstheme="minorHAnsi"/>
          <w:sz w:val="22"/>
          <w:szCs w:val="22"/>
        </w:rPr>
        <w:t xml:space="preserve"> </w:t>
      </w:r>
      <w:r w:rsidR="003D667F">
        <w:rPr>
          <w:rFonts w:asciiTheme="minorHAnsi" w:eastAsia="Times New Roman" w:hAnsiTheme="minorHAnsi" w:cstheme="minorHAnsi"/>
          <w:sz w:val="22"/>
          <w:szCs w:val="22"/>
        </w:rPr>
        <w:t>R</w:t>
      </w:r>
      <w:r w:rsidR="001A6D3A" w:rsidRPr="00F879E2">
        <w:rPr>
          <w:rFonts w:asciiTheme="minorHAnsi" w:eastAsia="Times New Roman" w:hAnsiTheme="minorHAnsi" w:cstheme="minorHAnsi"/>
          <w:sz w:val="22"/>
          <w:szCs w:val="22"/>
        </w:rPr>
        <w:t xml:space="preserve">isk </w:t>
      </w:r>
      <w:r w:rsidR="003D667F">
        <w:rPr>
          <w:rFonts w:asciiTheme="minorHAnsi" w:eastAsia="Times New Roman" w:hAnsiTheme="minorHAnsi" w:cstheme="minorHAnsi"/>
          <w:sz w:val="22"/>
          <w:szCs w:val="22"/>
        </w:rPr>
        <w:t>A</w:t>
      </w:r>
      <w:r w:rsidR="001A6D3A" w:rsidRPr="00F879E2">
        <w:rPr>
          <w:rFonts w:asciiTheme="minorHAnsi" w:eastAsia="Times New Roman" w:hAnsiTheme="minorHAnsi" w:cstheme="minorHAnsi"/>
          <w:sz w:val="22"/>
          <w:szCs w:val="22"/>
        </w:rPr>
        <w:t xml:space="preserve">ssessment </w:t>
      </w:r>
      <w:r w:rsidR="003D667F">
        <w:rPr>
          <w:rFonts w:asciiTheme="minorHAnsi" w:eastAsia="Times New Roman" w:hAnsiTheme="minorHAnsi" w:cstheme="minorHAnsi"/>
          <w:sz w:val="22"/>
          <w:szCs w:val="22"/>
        </w:rPr>
        <w:t>T</w:t>
      </w:r>
      <w:r>
        <w:rPr>
          <w:rFonts w:asciiTheme="minorHAnsi" w:eastAsia="Times New Roman" w:hAnsiTheme="minorHAnsi" w:cstheme="minorHAnsi"/>
          <w:sz w:val="22"/>
          <w:szCs w:val="22"/>
        </w:rPr>
        <w:t xml:space="preserve">ool is intended </w:t>
      </w:r>
      <w:r w:rsidR="002C4E4F" w:rsidRPr="00F879E2">
        <w:rPr>
          <w:rFonts w:asciiTheme="minorHAnsi" w:eastAsia="Times New Roman" w:hAnsiTheme="minorHAnsi" w:cstheme="minorHAnsi"/>
          <w:sz w:val="22"/>
          <w:szCs w:val="22"/>
        </w:rPr>
        <w:t>to assess the level of risk associated with</w:t>
      </w:r>
      <w:r w:rsidR="001A6D3A" w:rsidRPr="00F879E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persons supported </w:t>
      </w:r>
      <w:r w:rsidR="003D667F">
        <w:rPr>
          <w:rFonts w:asciiTheme="minorHAnsi" w:eastAsia="Times New Roman" w:hAnsiTheme="minorHAnsi" w:cstheme="minorHAnsi"/>
          <w:sz w:val="22"/>
          <w:szCs w:val="22"/>
        </w:rPr>
        <w:t>participating in</w:t>
      </w:r>
      <w:r w:rsidR="001A6D3A" w:rsidRPr="00F879E2">
        <w:rPr>
          <w:rFonts w:asciiTheme="minorHAnsi" w:eastAsia="Times New Roman" w:hAnsiTheme="minorHAnsi" w:cstheme="minorHAnsi"/>
          <w:sz w:val="22"/>
          <w:szCs w:val="22"/>
        </w:rPr>
        <w:t xml:space="preserve"> activities in the community</w:t>
      </w:r>
      <w:r w:rsidR="00907880">
        <w:rPr>
          <w:rFonts w:asciiTheme="minorHAnsi" w:eastAsia="Times New Roman" w:hAnsiTheme="minorHAnsi" w:cstheme="minorHAnsi"/>
          <w:sz w:val="22"/>
          <w:szCs w:val="22"/>
        </w:rPr>
        <w:t xml:space="preserve">, </w:t>
      </w:r>
      <w:r w:rsidR="001A6D3A" w:rsidRPr="00F879E2">
        <w:rPr>
          <w:rFonts w:asciiTheme="minorHAnsi" w:eastAsia="Times New Roman" w:hAnsiTheme="minorHAnsi" w:cstheme="minorHAnsi"/>
          <w:sz w:val="22"/>
          <w:szCs w:val="22"/>
        </w:rPr>
        <w:t>i.e.</w:t>
      </w:r>
      <w:r w:rsidR="00F879E2" w:rsidRPr="00F879E2">
        <w:rPr>
          <w:rFonts w:asciiTheme="minorHAnsi" w:hAnsiTheme="minorHAnsi" w:cstheme="minorHAnsi"/>
          <w:sz w:val="22"/>
          <w:szCs w:val="22"/>
        </w:rPr>
        <w:t xml:space="preserve"> </w:t>
      </w:r>
      <w:r w:rsidR="001A6D3A" w:rsidRPr="00F879E2">
        <w:rPr>
          <w:rFonts w:asciiTheme="minorHAnsi" w:eastAsia="Times New Roman" w:hAnsiTheme="minorHAnsi" w:cstheme="minorHAnsi"/>
          <w:sz w:val="22"/>
          <w:szCs w:val="22"/>
        </w:rPr>
        <w:t>returning to work/</w:t>
      </w:r>
      <w:r w:rsidR="00F106C9" w:rsidRPr="00F879E2">
        <w:rPr>
          <w:rFonts w:asciiTheme="minorHAnsi" w:eastAsia="Times New Roman" w:hAnsiTheme="minorHAnsi" w:cstheme="minorHAnsi"/>
          <w:sz w:val="22"/>
          <w:szCs w:val="22"/>
        </w:rPr>
        <w:t>volunteering</w:t>
      </w:r>
      <w:r w:rsidR="001A6D3A" w:rsidRPr="00F879E2">
        <w:rPr>
          <w:rFonts w:asciiTheme="minorHAnsi" w:eastAsia="Times New Roman" w:hAnsiTheme="minorHAnsi" w:cstheme="minorHAnsi"/>
          <w:sz w:val="22"/>
          <w:szCs w:val="22"/>
        </w:rPr>
        <w:t xml:space="preserve"> positions, participating in specific community outings, before introducing new activities or before introducing changes to existing activities.  </w:t>
      </w:r>
      <w:r w:rsidR="003D667F">
        <w:rPr>
          <w:rFonts w:asciiTheme="minorHAnsi" w:eastAsia="Times New Roman" w:hAnsiTheme="minorHAnsi" w:cstheme="minorHAnsi"/>
          <w:sz w:val="22"/>
          <w:szCs w:val="22"/>
        </w:rPr>
        <w:t xml:space="preserve">The </w:t>
      </w:r>
      <w:r w:rsidR="00F106C9" w:rsidRPr="00F879E2">
        <w:rPr>
          <w:rFonts w:asciiTheme="minorHAnsi" w:eastAsia="Times New Roman" w:hAnsiTheme="minorHAnsi" w:cstheme="minorHAnsi"/>
          <w:sz w:val="22"/>
          <w:szCs w:val="22"/>
        </w:rPr>
        <w:t xml:space="preserve">tool </w:t>
      </w:r>
      <w:r w:rsidR="003D667F">
        <w:rPr>
          <w:rFonts w:asciiTheme="minorHAnsi" w:eastAsia="Times New Roman" w:hAnsiTheme="minorHAnsi" w:cstheme="minorHAnsi"/>
          <w:sz w:val="22"/>
          <w:szCs w:val="22"/>
        </w:rPr>
        <w:t xml:space="preserve">can be used </w:t>
      </w:r>
      <w:r w:rsidR="00F106C9" w:rsidRPr="00F879E2">
        <w:rPr>
          <w:rFonts w:asciiTheme="minorHAnsi" w:eastAsia="Times New Roman" w:hAnsiTheme="minorHAnsi" w:cstheme="minorHAnsi"/>
          <w:sz w:val="22"/>
          <w:szCs w:val="22"/>
        </w:rPr>
        <w:t xml:space="preserve">to prepare for and mitigate the risk of </w:t>
      </w:r>
      <w:r w:rsidR="003D667F">
        <w:rPr>
          <w:rFonts w:asciiTheme="minorHAnsi" w:eastAsia="Times New Roman" w:hAnsiTheme="minorHAnsi" w:cstheme="minorHAnsi"/>
          <w:sz w:val="22"/>
          <w:szCs w:val="22"/>
        </w:rPr>
        <w:t>participating in</w:t>
      </w:r>
      <w:r w:rsidR="00F106C9" w:rsidRPr="00F879E2">
        <w:rPr>
          <w:rFonts w:asciiTheme="minorHAnsi" w:eastAsia="Times New Roman" w:hAnsiTheme="minorHAnsi" w:cstheme="minorHAnsi"/>
          <w:sz w:val="22"/>
          <w:szCs w:val="22"/>
        </w:rPr>
        <w:t xml:space="preserve"> approved activities during emergency orders.  </w:t>
      </w:r>
    </w:p>
    <w:p w14:paraId="648E7700" w14:textId="6E64DBAE" w:rsidR="00F106C9" w:rsidRDefault="00F106C9" w:rsidP="00F106C9">
      <w:pPr>
        <w:shd w:val="clear" w:color="auto" w:fill="FFFFFF"/>
        <w:spacing w:before="100" w:beforeAutospacing="1" w:after="100" w:afterAutospacing="1" w:line="240" w:lineRule="auto"/>
        <w:rPr>
          <w:rFonts w:cstheme="minorHAnsi"/>
          <w:shd w:val="clear" w:color="auto" w:fill="FFFFFF"/>
        </w:rPr>
      </w:pPr>
      <w:r w:rsidRPr="00086285">
        <w:rPr>
          <w:rFonts w:cstheme="minorHAnsi"/>
          <w:shd w:val="clear" w:color="auto" w:fill="FFFFFF"/>
        </w:rPr>
        <w:t xml:space="preserve">This </w:t>
      </w:r>
      <w:r w:rsidR="00086285">
        <w:rPr>
          <w:rFonts w:cstheme="minorHAnsi"/>
          <w:shd w:val="clear" w:color="auto" w:fill="FFFFFF"/>
        </w:rPr>
        <w:t>risk assessment tool will also help to</w:t>
      </w:r>
      <w:r w:rsidRPr="00086285">
        <w:rPr>
          <w:rFonts w:cstheme="minorHAnsi"/>
          <w:shd w:val="clear" w:color="auto" w:fill="FFFFFF"/>
        </w:rPr>
        <w:t xml:space="preserve"> determine </w:t>
      </w:r>
      <w:r w:rsidR="00BC4ED0">
        <w:rPr>
          <w:rFonts w:cstheme="minorHAnsi"/>
          <w:shd w:val="clear" w:color="auto" w:fill="FFFFFF"/>
        </w:rPr>
        <w:t xml:space="preserve">next steps, </w:t>
      </w:r>
      <w:r w:rsidR="002C4E4F">
        <w:rPr>
          <w:rFonts w:cstheme="minorHAnsi"/>
          <w:shd w:val="clear" w:color="auto" w:fill="FFFFFF"/>
        </w:rPr>
        <w:t xml:space="preserve">the risks vs. benefits, </w:t>
      </w:r>
      <w:r w:rsidR="00F879E2">
        <w:rPr>
          <w:rFonts w:cstheme="minorHAnsi"/>
          <w:shd w:val="clear" w:color="auto" w:fill="FFFFFF"/>
        </w:rPr>
        <w:t>where restrictions</w:t>
      </w:r>
      <w:r w:rsidR="003D667F">
        <w:rPr>
          <w:rFonts w:cstheme="minorHAnsi"/>
          <w:shd w:val="clear" w:color="auto" w:fill="FFFFFF"/>
        </w:rPr>
        <w:t xml:space="preserve"> can be lessened</w:t>
      </w:r>
      <w:r w:rsidR="00F879E2">
        <w:rPr>
          <w:rFonts w:cstheme="minorHAnsi"/>
          <w:shd w:val="clear" w:color="auto" w:fill="FFFFFF"/>
        </w:rPr>
        <w:t xml:space="preserve">, </w:t>
      </w:r>
      <w:r w:rsidRPr="00086285">
        <w:rPr>
          <w:rFonts w:cstheme="minorHAnsi"/>
          <w:shd w:val="clear" w:color="auto" w:fill="FFFFFF"/>
        </w:rPr>
        <w:t xml:space="preserve">where the level of risk </w:t>
      </w:r>
      <w:r w:rsidR="003D667F">
        <w:rPr>
          <w:rFonts w:cstheme="minorHAnsi"/>
          <w:shd w:val="clear" w:color="auto" w:fill="FFFFFF"/>
        </w:rPr>
        <w:t xml:space="preserve">can be reduced </w:t>
      </w:r>
      <w:r w:rsidRPr="00086285">
        <w:rPr>
          <w:rFonts w:cstheme="minorHAnsi"/>
          <w:shd w:val="clear" w:color="auto" w:fill="FFFFFF"/>
        </w:rPr>
        <w:t xml:space="preserve">and </w:t>
      </w:r>
      <w:r w:rsidR="003D667F">
        <w:rPr>
          <w:rFonts w:cstheme="minorHAnsi"/>
          <w:shd w:val="clear" w:color="auto" w:fill="FFFFFF"/>
        </w:rPr>
        <w:t xml:space="preserve">the </w:t>
      </w:r>
      <w:r w:rsidRPr="00086285">
        <w:rPr>
          <w:rFonts w:cstheme="minorHAnsi"/>
          <w:shd w:val="clear" w:color="auto" w:fill="FFFFFF"/>
        </w:rPr>
        <w:t>prioritiz</w:t>
      </w:r>
      <w:r w:rsidR="003D667F">
        <w:rPr>
          <w:rFonts w:cstheme="minorHAnsi"/>
          <w:shd w:val="clear" w:color="auto" w:fill="FFFFFF"/>
        </w:rPr>
        <w:t>ation of risks</w:t>
      </w:r>
      <w:r w:rsidR="00086285">
        <w:rPr>
          <w:rFonts w:cstheme="minorHAnsi"/>
          <w:shd w:val="clear" w:color="auto" w:fill="FFFFFF"/>
        </w:rPr>
        <w:t xml:space="preserve">.  </w:t>
      </w:r>
      <w:r w:rsidR="003D667F">
        <w:rPr>
          <w:rFonts w:cstheme="minorHAnsi"/>
          <w:shd w:val="clear" w:color="auto" w:fill="FFFFFF"/>
        </w:rPr>
        <w:t xml:space="preserve">It will also assist with </w:t>
      </w:r>
      <w:r w:rsidR="00BC4ED0">
        <w:rPr>
          <w:rFonts w:cstheme="minorHAnsi"/>
          <w:shd w:val="clear" w:color="auto" w:fill="FFFFFF"/>
        </w:rPr>
        <w:t>explor</w:t>
      </w:r>
      <w:r w:rsidR="003D667F">
        <w:rPr>
          <w:rFonts w:cstheme="minorHAnsi"/>
          <w:shd w:val="clear" w:color="auto" w:fill="FFFFFF"/>
        </w:rPr>
        <w:t xml:space="preserve">ing </w:t>
      </w:r>
      <w:r w:rsidR="00BC4ED0">
        <w:rPr>
          <w:rFonts w:cstheme="minorHAnsi"/>
          <w:shd w:val="clear" w:color="auto" w:fill="FFFFFF"/>
        </w:rPr>
        <w:t>how</w:t>
      </w:r>
      <w:r w:rsidR="00086285">
        <w:rPr>
          <w:rFonts w:cstheme="minorHAnsi"/>
          <w:shd w:val="clear" w:color="auto" w:fill="FFFFFF"/>
        </w:rPr>
        <w:t xml:space="preserve"> </w:t>
      </w:r>
      <w:r w:rsidR="002C4E4F">
        <w:rPr>
          <w:rFonts w:cstheme="minorHAnsi"/>
          <w:shd w:val="clear" w:color="auto" w:fill="FFFFFF"/>
        </w:rPr>
        <w:t xml:space="preserve">imposing </w:t>
      </w:r>
      <w:r w:rsidR="00086285">
        <w:rPr>
          <w:rFonts w:cstheme="minorHAnsi"/>
          <w:shd w:val="clear" w:color="auto" w:fill="FFFFFF"/>
        </w:rPr>
        <w:t>safeguards such as additional staff</w:t>
      </w:r>
      <w:r w:rsidR="001A41CD">
        <w:rPr>
          <w:rFonts w:cstheme="minorHAnsi"/>
          <w:shd w:val="clear" w:color="auto" w:fill="FFFFFF"/>
        </w:rPr>
        <w:t>, considering lower risk activities</w:t>
      </w:r>
      <w:r w:rsidR="00086285">
        <w:rPr>
          <w:rFonts w:cstheme="minorHAnsi"/>
          <w:shd w:val="clear" w:color="auto" w:fill="FFFFFF"/>
        </w:rPr>
        <w:t xml:space="preserve"> and off</w:t>
      </w:r>
      <w:r w:rsidR="003D667F">
        <w:rPr>
          <w:rFonts w:cstheme="minorHAnsi"/>
          <w:shd w:val="clear" w:color="auto" w:fill="FFFFFF"/>
        </w:rPr>
        <w:t>-</w:t>
      </w:r>
      <w:r w:rsidR="00086285">
        <w:rPr>
          <w:rFonts w:cstheme="minorHAnsi"/>
          <w:shd w:val="clear" w:color="auto" w:fill="FFFFFF"/>
        </w:rPr>
        <w:t>peak hours may reduce the l</w:t>
      </w:r>
      <w:r w:rsidR="001A41CD">
        <w:rPr>
          <w:rFonts w:cstheme="minorHAnsi"/>
          <w:shd w:val="clear" w:color="auto" w:fill="FFFFFF"/>
        </w:rPr>
        <w:t>evel of risk associate</w:t>
      </w:r>
      <w:r w:rsidR="002C4E4F">
        <w:rPr>
          <w:rFonts w:cstheme="minorHAnsi"/>
          <w:shd w:val="clear" w:color="auto" w:fill="FFFFFF"/>
        </w:rPr>
        <w:t>d</w:t>
      </w:r>
      <w:r w:rsidR="001A41CD">
        <w:rPr>
          <w:rFonts w:cstheme="minorHAnsi"/>
          <w:shd w:val="clear" w:color="auto" w:fill="FFFFFF"/>
        </w:rPr>
        <w:t xml:space="preserve"> with the</w:t>
      </w:r>
      <w:r w:rsidR="00086285">
        <w:rPr>
          <w:rFonts w:cstheme="minorHAnsi"/>
          <w:shd w:val="clear" w:color="auto" w:fill="FFFFFF"/>
        </w:rPr>
        <w:t xml:space="preserve"> activity</w:t>
      </w:r>
      <w:r w:rsidR="001A41CD">
        <w:rPr>
          <w:rFonts w:cstheme="minorHAnsi"/>
          <w:shd w:val="clear" w:color="auto" w:fill="FFFFFF"/>
        </w:rPr>
        <w:t xml:space="preserve"> and/or setting</w:t>
      </w:r>
      <w:r w:rsidRPr="00086285">
        <w:rPr>
          <w:rFonts w:cstheme="minorHAnsi"/>
          <w:shd w:val="clear" w:color="auto" w:fill="FFFFFF"/>
        </w:rPr>
        <w:t>.</w:t>
      </w:r>
      <w:r w:rsidR="00086285" w:rsidRPr="00086285">
        <w:rPr>
          <w:rFonts w:cstheme="minorHAnsi"/>
          <w:shd w:val="clear" w:color="auto" w:fill="FFFFFF"/>
        </w:rPr>
        <w:t xml:space="preserve">  </w:t>
      </w:r>
      <w:r w:rsidR="00216BE1">
        <w:rPr>
          <w:rFonts w:cstheme="minorHAnsi"/>
          <w:shd w:val="clear" w:color="auto" w:fill="FFFFFF"/>
        </w:rPr>
        <w:t xml:space="preserve">Refer to Table 3 for examples of </w:t>
      </w:r>
      <w:r w:rsidR="00F879E2">
        <w:rPr>
          <w:rFonts w:cstheme="minorHAnsi"/>
          <w:shd w:val="clear" w:color="auto" w:fill="FFFFFF"/>
        </w:rPr>
        <w:t>activities and varies risk levels</w:t>
      </w:r>
      <w:r w:rsidR="00216BE1">
        <w:rPr>
          <w:rFonts w:cstheme="minorHAnsi"/>
          <w:shd w:val="clear" w:color="auto" w:fill="FFFFFF"/>
        </w:rPr>
        <w:t xml:space="preserve">.  </w:t>
      </w:r>
    </w:p>
    <w:p w14:paraId="271FACDE" w14:textId="790CE335" w:rsidR="00284C68" w:rsidRPr="005A5023" w:rsidRDefault="00284C68" w:rsidP="005A5023">
      <w:pPr>
        <w:shd w:val="clear" w:color="auto" w:fill="FFFFFF"/>
        <w:spacing w:before="100" w:beforeAutospacing="1" w:after="100" w:afterAutospacing="1" w:line="240" w:lineRule="auto"/>
        <w:rPr>
          <w:rFonts w:cstheme="minorHAnsi"/>
          <w:b/>
          <w:bCs/>
          <w:shd w:val="clear" w:color="auto" w:fill="FFFFFF"/>
        </w:rPr>
      </w:pPr>
      <w:r>
        <w:rPr>
          <w:rFonts w:cstheme="minorHAnsi"/>
          <w:b/>
          <w:bCs/>
          <w:shd w:val="clear" w:color="auto" w:fill="FFFFFF"/>
        </w:rPr>
        <w:t>USE</w:t>
      </w:r>
    </w:p>
    <w:p w14:paraId="053799AB" w14:textId="77777777" w:rsidR="00284C68" w:rsidRDefault="00284C68" w:rsidP="00284C68">
      <w:pPr>
        <w:shd w:val="clear" w:color="auto" w:fill="FFFFFF"/>
        <w:spacing w:after="0" w:line="240" w:lineRule="auto"/>
        <w:rPr>
          <w:rFonts w:eastAsia="Times New Roman" w:cstheme="minorHAnsi"/>
          <w:b/>
          <w:bCs/>
        </w:rPr>
      </w:pPr>
      <w:r>
        <w:rPr>
          <w:rFonts w:eastAsia="Times New Roman" w:cstheme="minorHAnsi"/>
          <w:b/>
          <w:bCs/>
        </w:rPr>
        <w:t>There are three pillars to the Risk Assessment Tool:</w:t>
      </w:r>
    </w:p>
    <w:p w14:paraId="410EF782" w14:textId="77777777" w:rsidR="00284C68" w:rsidRDefault="00284C68" w:rsidP="00284C68">
      <w:pPr>
        <w:shd w:val="clear" w:color="auto" w:fill="FFFFFF"/>
        <w:spacing w:after="0" w:line="240" w:lineRule="auto"/>
        <w:rPr>
          <w:rFonts w:eastAsia="Times New Roman" w:cstheme="minorHAnsi"/>
          <w:b/>
          <w:bCs/>
        </w:rPr>
      </w:pPr>
    </w:p>
    <w:p w14:paraId="763A0D84" w14:textId="77777777" w:rsidR="00284C68" w:rsidRDefault="00284C68" w:rsidP="00284C68">
      <w:pPr>
        <w:pStyle w:val="ListParagraph"/>
        <w:numPr>
          <w:ilvl w:val="0"/>
          <w:numId w:val="24"/>
        </w:numPr>
        <w:shd w:val="clear" w:color="auto" w:fill="FFFFFF"/>
        <w:spacing w:after="0" w:line="240" w:lineRule="auto"/>
        <w:rPr>
          <w:rFonts w:eastAsia="Times New Roman" w:cstheme="minorHAnsi"/>
          <w:b/>
          <w:bCs/>
        </w:rPr>
      </w:pPr>
      <w:r>
        <w:rPr>
          <w:rFonts w:eastAsia="Times New Roman" w:cstheme="minorHAnsi"/>
          <w:b/>
          <w:bCs/>
        </w:rPr>
        <w:t>Risk Assessment</w:t>
      </w:r>
    </w:p>
    <w:p w14:paraId="2C25723F" w14:textId="77777777" w:rsidR="00284C68" w:rsidRDefault="00284C68" w:rsidP="00284C68">
      <w:pPr>
        <w:pStyle w:val="ListParagraph"/>
        <w:numPr>
          <w:ilvl w:val="0"/>
          <w:numId w:val="24"/>
        </w:numPr>
        <w:shd w:val="clear" w:color="auto" w:fill="FFFFFF"/>
        <w:spacing w:after="0" w:line="240" w:lineRule="auto"/>
        <w:rPr>
          <w:rFonts w:eastAsia="Times New Roman" w:cstheme="minorHAnsi"/>
          <w:b/>
          <w:bCs/>
        </w:rPr>
      </w:pPr>
      <w:r>
        <w:rPr>
          <w:rFonts w:eastAsia="Times New Roman" w:cstheme="minorHAnsi"/>
          <w:b/>
          <w:bCs/>
        </w:rPr>
        <w:t>Risk Mitigation Checklist</w:t>
      </w:r>
    </w:p>
    <w:p w14:paraId="339CA6F1" w14:textId="77777777" w:rsidR="00284C68" w:rsidRDefault="00284C68" w:rsidP="00284C68">
      <w:pPr>
        <w:pStyle w:val="ListParagraph"/>
        <w:numPr>
          <w:ilvl w:val="0"/>
          <w:numId w:val="24"/>
        </w:numPr>
        <w:shd w:val="clear" w:color="auto" w:fill="FFFFFF"/>
        <w:spacing w:after="0" w:line="240" w:lineRule="auto"/>
        <w:rPr>
          <w:rFonts w:eastAsia="Times New Roman" w:cstheme="minorHAnsi"/>
          <w:b/>
          <w:bCs/>
        </w:rPr>
      </w:pPr>
      <w:r>
        <w:rPr>
          <w:rFonts w:eastAsia="Times New Roman" w:cstheme="minorHAnsi"/>
          <w:b/>
          <w:bCs/>
        </w:rPr>
        <w:t>Overall Risk Score</w:t>
      </w:r>
    </w:p>
    <w:p w14:paraId="1BBD2D0A" w14:textId="77777777" w:rsidR="00284C68" w:rsidRDefault="00284C68" w:rsidP="00284C68">
      <w:pPr>
        <w:shd w:val="clear" w:color="auto" w:fill="FFFFFF"/>
        <w:spacing w:after="0" w:line="240" w:lineRule="auto"/>
        <w:rPr>
          <w:rFonts w:eastAsia="Times New Roman" w:cstheme="minorHAnsi"/>
          <w:b/>
          <w:bCs/>
        </w:rPr>
      </w:pPr>
    </w:p>
    <w:p w14:paraId="02663C30" w14:textId="2EAFB224" w:rsidR="00284C68" w:rsidRDefault="00284C68" w:rsidP="00284C68">
      <w:pPr>
        <w:shd w:val="clear" w:color="auto" w:fill="FFFFFF"/>
        <w:spacing w:after="0" w:line="240" w:lineRule="auto"/>
        <w:rPr>
          <w:rFonts w:eastAsia="Times New Roman" w:cstheme="minorHAnsi"/>
        </w:rPr>
      </w:pPr>
      <w:r w:rsidRPr="00364C89">
        <w:rPr>
          <w:rFonts w:eastAsia="Times New Roman" w:cstheme="minorHAnsi"/>
        </w:rPr>
        <w:t xml:space="preserve">The tool should be completed in the Excel spreadsheet as the scores are automatically calculated.  The matrix will assist in determining the overall risk of contributing to COVID-19 community transmission and next steps. </w:t>
      </w:r>
    </w:p>
    <w:p w14:paraId="2551DC8E" w14:textId="77777777" w:rsidR="00284C68" w:rsidRPr="00D71E94" w:rsidRDefault="00284C68" w:rsidP="00D71E94">
      <w:pPr>
        <w:shd w:val="clear" w:color="auto" w:fill="FFFFFF"/>
        <w:spacing w:after="0" w:line="240" w:lineRule="auto"/>
        <w:rPr>
          <w:rFonts w:eastAsia="Times New Roman" w:cstheme="minorHAnsi"/>
        </w:rPr>
      </w:pPr>
    </w:p>
    <w:p w14:paraId="7B41884B" w14:textId="0C876A4E" w:rsidR="00086285" w:rsidRDefault="00086285" w:rsidP="00E27146">
      <w:pPr>
        <w:pStyle w:val="NoSpacing"/>
        <w:rPr>
          <w:shd w:val="clear" w:color="auto" w:fill="FFFFFF"/>
        </w:rPr>
      </w:pPr>
      <w:r>
        <w:rPr>
          <w:shd w:val="clear" w:color="auto" w:fill="FFFFFF"/>
        </w:rPr>
        <w:t>Step 1: Complete the risk mitigation table</w:t>
      </w:r>
      <w:r w:rsidR="000D2EFC">
        <w:rPr>
          <w:shd w:val="clear" w:color="auto" w:fill="FFFFFF"/>
        </w:rPr>
        <w:t xml:space="preserve"> (T</w:t>
      </w:r>
      <w:r w:rsidR="002C4E4F">
        <w:rPr>
          <w:shd w:val="clear" w:color="auto" w:fill="FFFFFF"/>
        </w:rPr>
        <w:t>ab 1</w:t>
      </w:r>
      <w:r w:rsidR="000D2EFC">
        <w:rPr>
          <w:shd w:val="clear" w:color="auto" w:fill="FFFFFF"/>
        </w:rPr>
        <w:t xml:space="preserve"> of risk assessment</w:t>
      </w:r>
      <w:r w:rsidR="002C4E4F">
        <w:rPr>
          <w:shd w:val="clear" w:color="auto" w:fill="FFFFFF"/>
        </w:rPr>
        <w:t>)</w:t>
      </w:r>
    </w:p>
    <w:p w14:paraId="2849A765" w14:textId="4205F818" w:rsidR="00086285" w:rsidRDefault="00086285" w:rsidP="00E27146">
      <w:pPr>
        <w:pStyle w:val="NoSpacing"/>
        <w:rPr>
          <w:shd w:val="clear" w:color="auto" w:fill="FFFFFF"/>
        </w:rPr>
      </w:pPr>
      <w:r>
        <w:rPr>
          <w:shd w:val="clear" w:color="auto" w:fill="FFFFFF"/>
        </w:rPr>
        <w:t>Step 2: Complete risk assessment to assess overall risk</w:t>
      </w:r>
      <w:r w:rsidR="000D2EFC">
        <w:rPr>
          <w:shd w:val="clear" w:color="auto" w:fill="FFFFFF"/>
        </w:rPr>
        <w:t xml:space="preserve"> (T</w:t>
      </w:r>
      <w:r w:rsidR="002C4E4F">
        <w:rPr>
          <w:shd w:val="clear" w:color="auto" w:fill="FFFFFF"/>
        </w:rPr>
        <w:t>ab 2</w:t>
      </w:r>
      <w:r w:rsidR="000D2EFC">
        <w:rPr>
          <w:shd w:val="clear" w:color="auto" w:fill="FFFFFF"/>
        </w:rPr>
        <w:t xml:space="preserve"> of risk assessment</w:t>
      </w:r>
      <w:r w:rsidR="002C4E4F">
        <w:rPr>
          <w:shd w:val="clear" w:color="auto" w:fill="FFFFFF"/>
        </w:rPr>
        <w:t>)</w:t>
      </w:r>
    </w:p>
    <w:p w14:paraId="435B435C" w14:textId="7A0B8EAD" w:rsidR="00AF337C" w:rsidRDefault="00086285" w:rsidP="00E27146">
      <w:pPr>
        <w:pStyle w:val="NoSpacing"/>
        <w:rPr>
          <w:shd w:val="clear" w:color="auto" w:fill="FFFFFF"/>
        </w:rPr>
      </w:pPr>
      <w:r>
        <w:rPr>
          <w:shd w:val="clear" w:color="auto" w:fill="FFFFFF"/>
        </w:rPr>
        <w:t xml:space="preserve">Step 3: Determine overall risk score </w:t>
      </w:r>
      <w:r w:rsidR="00AF337C">
        <w:rPr>
          <w:shd w:val="clear" w:color="auto" w:fill="FFFFFF"/>
        </w:rPr>
        <w:t xml:space="preserve">by assessing </w:t>
      </w:r>
      <w:r w:rsidR="000D2EFC">
        <w:rPr>
          <w:shd w:val="clear" w:color="auto" w:fill="FFFFFF"/>
        </w:rPr>
        <w:t>(T</w:t>
      </w:r>
      <w:r w:rsidR="002C4E4F">
        <w:rPr>
          <w:shd w:val="clear" w:color="auto" w:fill="FFFFFF"/>
        </w:rPr>
        <w:t>ab 3</w:t>
      </w:r>
      <w:r w:rsidR="000D2EFC">
        <w:rPr>
          <w:shd w:val="clear" w:color="auto" w:fill="FFFFFF"/>
        </w:rPr>
        <w:t xml:space="preserve"> of risk assessment</w:t>
      </w:r>
      <w:r w:rsidR="002C4E4F">
        <w:rPr>
          <w:shd w:val="clear" w:color="auto" w:fill="FFFFFF"/>
        </w:rPr>
        <w:t>)</w:t>
      </w:r>
    </w:p>
    <w:p w14:paraId="0B3A4DE5" w14:textId="570C8F75" w:rsidR="000D2EFC" w:rsidRDefault="000D2EFC" w:rsidP="00E27146">
      <w:pPr>
        <w:pStyle w:val="NoSpacing"/>
        <w:rPr>
          <w:shd w:val="clear" w:color="auto" w:fill="FFFFFF"/>
        </w:rPr>
      </w:pPr>
      <w:r>
        <w:rPr>
          <w:shd w:val="clear" w:color="auto" w:fill="FFFFFF"/>
        </w:rPr>
        <w:t xml:space="preserve">Step 4: </w:t>
      </w:r>
      <w:r w:rsidR="00BC4ED0">
        <w:rPr>
          <w:shd w:val="clear" w:color="auto" w:fill="FFFFFF"/>
        </w:rPr>
        <w:t>Refer to the risk assessment matrix to d</w:t>
      </w:r>
      <w:r w:rsidR="006161FC">
        <w:rPr>
          <w:shd w:val="clear" w:color="auto" w:fill="FFFFFF"/>
        </w:rPr>
        <w:t xml:space="preserve">etermine the risk mitigation potential </w:t>
      </w:r>
      <w:r>
        <w:rPr>
          <w:shd w:val="clear" w:color="auto" w:fill="FFFFFF"/>
        </w:rPr>
        <w:t>(Table 1)</w:t>
      </w:r>
    </w:p>
    <w:p w14:paraId="52D620F6" w14:textId="04704F45" w:rsidR="002C4E4F" w:rsidRDefault="002C4E4F" w:rsidP="00E27146">
      <w:pPr>
        <w:pStyle w:val="NoSpacing"/>
        <w:rPr>
          <w:shd w:val="clear" w:color="auto" w:fill="FFFFFF"/>
        </w:rPr>
      </w:pPr>
      <w:r>
        <w:rPr>
          <w:shd w:val="clear" w:color="auto" w:fill="FFFFFF"/>
        </w:rPr>
        <w:t xml:space="preserve">Step 4: </w:t>
      </w:r>
      <w:r w:rsidR="000D2EFC">
        <w:rPr>
          <w:shd w:val="clear" w:color="auto" w:fill="FFFFFF"/>
        </w:rPr>
        <w:t xml:space="preserve">Refer to the risk assessment flow chart to determine overall </w:t>
      </w:r>
      <w:r w:rsidR="00BC4ED0">
        <w:rPr>
          <w:shd w:val="clear" w:color="auto" w:fill="FFFFFF"/>
        </w:rPr>
        <w:t xml:space="preserve">level of </w:t>
      </w:r>
      <w:r w:rsidR="000D2EFC">
        <w:rPr>
          <w:shd w:val="clear" w:color="auto" w:fill="FFFFFF"/>
        </w:rPr>
        <w:t>risk (Table 2)</w:t>
      </w:r>
    </w:p>
    <w:p w14:paraId="377A2ABE" w14:textId="77777777" w:rsidR="003D667F" w:rsidRDefault="003D667F" w:rsidP="00AF337C">
      <w:pPr>
        <w:pStyle w:val="NoSpacing"/>
        <w:rPr>
          <w:rStyle w:val="Strong"/>
          <w:rFonts w:asciiTheme="minorHAnsi" w:hAnsiTheme="minorHAnsi" w:cstheme="minorHAnsi"/>
          <w:bCs w:val="0"/>
        </w:rPr>
      </w:pPr>
    </w:p>
    <w:p w14:paraId="2BD6C989" w14:textId="18F90EC1" w:rsidR="00107921" w:rsidRDefault="00107921" w:rsidP="00AF337C">
      <w:pPr>
        <w:pStyle w:val="NoSpacing"/>
        <w:rPr>
          <w:rStyle w:val="Strong"/>
          <w:rFonts w:asciiTheme="minorHAnsi" w:hAnsiTheme="minorHAnsi" w:cstheme="minorHAnsi"/>
          <w:bCs w:val="0"/>
        </w:rPr>
      </w:pPr>
    </w:p>
    <w:p w14:paraId="7781AE55" w14:textId="79F01CC3" w:rsidR="00907880" w:rsidRDefault="00907880" w:rsidP="00907880">
      <w:pPr>
        <w:pStyle w:val="NoSpacing"/>
        <w:tabs>
          <w:tab w:val="left" w:pos="3948"/>
        </w:tabs>
        <w:rPr>
          <w:rStyle w:val="Strong"/>
          <w:rFonts w:asciiTheme="minorHAnsi" w:hAnsiTheme="minorHAnsi" w:cstheme="minorHAnsi"/>
          <w:bCs w:val="0"/>
        </w:rPr>
      </w:pPr>
    </w:p>
    <w:p w14:paraId="25C90EAE" w14:textId="66E64AF7" w:rsidR="00F858D8" w:rsidRDefault="00AF337C" w:rsidP="00AF337C">
      <w:pPr>
        <w:pStyle w:val="NoSpacing"/>
        <w:rPr>
          <w:rStyle w:val="Strong"/>
          <w:rFonts w:asciiTheme="minorHAnsi" w:hAnsiTheme="minorHAnsi" w:cstheme="minorHAnsi"/>
          <w:bCs w:val="0"/>
        </w:rPr>
      </w:pPr>
      <w:r w:rsidRPr="00086285">
        <w:rPr>
          <w:rStyle w:val="Strong"/>
          <w:rFonts w:asciiTheme="minorHAnsi" w:hAnsiTheme="minorHAnsi" w:cstheme="minorHAnsi"/>
          <w:bCs w:val="0"/>
        </w:rPr>
        <w:lastRenderedPageBreak/>
        <w:t>Determining Risk Impact</w:t>
      </w:r>
    </w:p>
    <w:p w14:paraId="183A8F34" w14:textId="77777777" w:rsidR="00B765FB" w:rsidRDefault="00B765FB" w:rsidP="00F858D8">
      <w:pPr>
        <w:pStyle w:val="NoSpacing"/>
      </w:pPr>
    </w:p>
    <w:p w14:paraId="4A4F3056" w14:textId="1FC988E9" w:rsidR="002C4E4F" w:rsidRDefault="00364C89" w:rsidP="00F858D8">
      <w:pPr>
        <w:pStyle w:val="NoSpacing"/>
        <w:rPr>
          <w:rFonts w:asciiTheme="minorHAnsi" w:hAnsiTheme="minorHAnsi" w:cstheme="minorHAnsi"/>
        </w:rPr>
      </w:pPr>
      <w:r>
        <w:t>O</w:t>
      </w:r>
      <w:r w:rsidR="0046442C">
        <w:t xml:space="preserve">rganizations </w:t>
      </w:r>
      <w:r>
        <w:t xml:space="preserve">need to determine their </w:t>
      </w:r>
      <w:r w:rsidR="0046442C">
        <w:t xml:space="preserve">threshold and </w:t>
      </w:r>
      <w:r w:rsidR="00FD35D4" w:rsidRPr="00E27146">
        <w:t xml:space="preserve">acceptable level of risk </w:t>
      </w:r>
      <w:r w:rsidR="0046442C">
        <w:t xml:space="preserve">under </w:t>
      </w:r>
      <w:r>
        <w:t>the current phase</w:t>
      </w:r>
      <w:r w:rsidR="0046442C">
        <w:t xml:space="preserve"> of </w:t>
      </w:r>
      <w:r>
        <w:t xml:space="preserve">the </w:t>
      </w:r>
      <w:r w:rsidR="0046442C">
        <w:t>emergency orders</w:t>
      </w:r>
      <w:r w:rsidR="00FD35D4" w:rsidRPr="00E27146">
        <w:t xml:space="preserve">. </w:t>
      </w:r>
      <w:r w:rsidR="00B765FB">
        <w:t>For example, an organization may determine that under Phase 3</w:t>
      </w:r>
      <w:r w:rsidR="00824D63">
        <w:t>, a</w:t>
      </w:r>
      <w:r w:rsidR="00B765FB">
        <w:t>ctivities that fall within the Low-Moderate risk level are acceptable.  I</w:t>
      </w:r>
      <w:r w:rsidR="00FD35D4" w:rsidRPr="00E27146">
        <w:t xml:space="preserve">f the risk is deemed acceptable, the activities can proceed without additional mitigation measures. If the risk is deemed too high, risk mitigation strategies must be developed and implemented.  The level of approval needed </w:t>
      </w:r>
      <w:r>
        <w:t>should be determined</w:t>
      </w:r>
      <w:r w:rsidR="00FD35D4" w:rsidRPr="00E27146">
        <w:t xml:space="preserve"> </w:t>
      </w:r>
      <w:r w:rsidR="003D667F">
        <w:t xml:space="preserve">by the organization </w:t>
      </w:r>
      <w:r w:rsidR="00FD35D4" w:rsidRPr="00E27146">
        <w:t xml:space="preserve">based on the overall level of risk.  </w:t>
      </w:r>
      <w:r>
        <w:t>Example, o</w:t>
      </w:r>
      <w:r w:rsidR="000D2EFC" w:rsidRPr="00E27146">
        <w:rPr>
          <w:rFonts w:asciiTheme="minorHAnsi" w:hAnsiTheme="minorHAnsi" w:cstheme="minorHAnsi"/>
        </w:rPr>
        <w:t>verall l</w:t>
      </w:r>
      <w:r w:rsidR="00F858D8" w:rsidRPr="00E27146">
        <w:rPr>
          <w:rFonts w:asciiTheme="minorHAnsi" w:hAnsiTheme="minorHAnsi" w:cstheme="minorHAnsi"/>
        </w:rPr>
        <w:t>ow risk requires Supervisor approval</w:t>
      </w:r>
      <w:r>
        <w:rPr>
          <w:rFonts w:asciiTheme="minorHAnsi" w:hAnsiTheme="minorHAnsi" w:cstheme="minorHAnsi"/>
        </w:rPr>
        <w:t>;</w:t>
      </w:r>
      <w:r w:rsidR="00F858D8" w:rsidRPr="00E27146">
        <w:rPr>
          <w:rFonts w:asciiTheme="minorHAnsi" w:hAnsiTheme="minorHAnsi" w:cstheme="minorHAnsi"/>
        </w:rPr>
        <w:t xml:space="preserve"> </w:t>
      </w:r>
      <w:r>
        <w:rPr>
          <w:rFonts w:asciiTheme="minorHAnsi" w:hAnsiTheme="minorHAnsi" w:cstheme="minorHAnsi"/>
        </w:rPr>
        <w:t>o</w:t>
      </w:r>
      <w:r w:rsidR="000D2EFC" w:rsidRPr="00E27146">
        <w:rPr>
          <w:rFonts w:asciiTheme="minorHAnsi" w:hAnsiTheme="minorHAnsi" w:cstheme="minorHAnsi"/>
        </w:rPr>
        <w:t>verall m</w:t>
      </w:r>
      <w:r w:rsidR="00F858D8" w:rsidRPr="00E27146">
        <w:rPr>
          <w:rFonts w:asciiTheme="minorHAnsi" w:hAnsiTheme="minorHAnsi" w:cstheme="minorHAnsi"/>
        </w:rPr>
        <w:t xml:space="preserve">edium risk requires </w:t>
      </w:r>
      <w:r w:rsidR="000D2EFC" w:rsidRPr="00E27146">
        <w:rPr>
          <w:rFonts w:asciiTheme="minorHAnsi" w:hAnsiTheme="minorHAnsi" w:cstheme="minorHAnsi"/>
        </w:rPr>
        <w:t xml:space="preserve">a </w:t>
      </w:r>
      <w:r w:rsidR="00F858D8" w:rsidRPr="00E27146">
        <w:rPr>
          <w:rFonts w:asciiTheme="minorHAnsi" w:hAnsiTheme="minorHAnsi" w:cstheme="minorHAnsi"/>
        </w:rPr>
        <w:t>Manager</w:t>
      </w:r>
      <w:r w:rsidR="000D2EFC" w:rsidRPr="00E27146">
        <w:rPr>
          <w:rFonts w:asciiTheme="minorHAnsi" w:hAnsiTheme="minorHAnsi" w:cstheme="minorHAnsi"/>
        </w:rPr>
        <w:t>s</w:t>
      </w:r>
      <w:r w:rsidR="00F858D8" w:rsidRPr="00E27146">
        <w:rPr>
          <w:rFonts w:asciiTheme="minorHAnsi" w:hAnsiTheme="minorHAnsi" w:cstheme="minorHAnsi"/>
        </w:rPr>
        <w:t xml:space="preserve"> </w:t>
      </w:r>
      <w:r w:rsidR="000D2EFC" w:rsidRPr="00E27146">
        <w:rPr>
          <w:rFonts w:asciiTheme="minorHAnsi" w:hAnsiTheme="minorHAnsi" w:cstheme="minorHAnsi"/>
        </w:rPr>
        <w:t>approval</w:t>
      </w:r>
      <w:r w:rsidR="003D667F">
        <w:rPr>
          <w:rFonts w:asciiTheme="minorHAnsi" w:hAnsiTheme="minorHAnsi" w:cstheme="minorHAnsi"/>
        </w:rPr>
        <w:t>, etc.</w:t>
      </w:r>
    </w:p>
    <w:p w14:paraId="4AEF5458" w14:textId="77777777" w:rsidR="00364C89" w:rsidRDefault="00364C89" w:rsidP="00F858D8">
      <w:pPr>
        <w:pStyle w:val="NoSpacing"/>
      </w:pPr>
    </w:p>
    <w:p w14:paraId="6989FF34" w14:textId="57C3B747" w:rsidR="000D2EFC" w:rsidRDefault="000D2EFC" w:rsidP="00216BE1">
      <w:pPr>
        <w:pStyle w:val="NoSpacing"/>
        <w:jc w:val="center"/>
        <w:rPr>
          <w:b/>
        </w:rPr>
      </w:pPr>
      <w:r>
        <w:rPr>
          <w:b/>
        </w:rPr>
        <w:t xml:space="preserve">Table 1 </w:t>
      </w:r>
      <w:r w:rsidR="00FD35D4">
        <w:rPr>
          <w:b/>
        </w:rPr>
        <w:t xml:space="preserve">Risk Assessment </w:t>
      </w:r>
      <w:r w:rsidRPr="000D2EFC">
        <w:rPr>
          <w:b/>
        </w:rPr>
        <w:t>Matrix</w:t>
      </w:r>
    </w:p>
    <w:p w14:paraId="3A0BC5F9" w14:textId="77777777" w:rsidR="00CD1076" w:rsidRDefault="00CD1076" w:rsidP="00BB2409">
      <w:pPr>
        <w:pStyle w:val="NoSpacing"/>
        <w:jc w:val="center"/>
        <w:rPr>
          <w:sz w:val="20"/>
          <w:shd w:val="clear" w:color="auto" w:fill="FFFFFF"/>
        </w:rPr>
      </w:pPr>
    </w:p>
    <w:p w14:paraId="50BD2CE6" w14:textId="70B6A677" w:rsidR="00BC4ED0" w:rsidRDefault="00BB2409" w:rsidP="00BB2409">
      <w:pPr>
        <w:pStyle w:val="NoSpacing"/>
        <w:jc w:val="center"/>
        <w:rPr>
          <w:sz w:val="20"/>
          <w:shd w:val="clear" w:color="auto" w:fill="FFFFFF"/>
        </w:rPr>
      </w:pPr>
      <w:r w:rsidRPr="00BB2409">
        <w:rPr>
          <w:sz w:val="20"/>
          <w:shd w:val="clear" w:color="auto" w:fill="FFFFFF"/>
        </w:rPr>
        <w:t>The risk assessment matrix is used to determine the risk mitigation potential by assessing the level of risk as Low, Medium or High and the consequence result as Weak, Moderate, or Strong</w:t>
      </w:r>
    </w:p>
    <w:p w14:paraId="2A1D083C" w14:textId="77777777" w:rsidR="00CD1076" w:rsidRPr="00BB2409" w:rsidRDefault="00CD1076" w:rsidP="00BB2409">
      <w:pPr>
        <w:pStyle w:val="NoSpacing"/>
        <w:jc w:val="center"/>
        <w:rPr>
          <w:b/>
          <w:sz w:val="20"/>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00"/>
        <w:gridCol w:w="4085"/>
      </w:tblGrid>
      <w:tr w:rsidR="002C4E4F" w:rsidRPr="002C4E4F" w14:paraId="7B6055E4" w14:textId="77777777" w:rsidTr="00F879E2">
        <w:trPr>
          <w:trHeight w:val="242"/>
          <w:jc w:val="center"/>
        </w:trPr>
        <w:tc>
          <w:tcPr>
            <w:tcW w:w="10350" w:type="dxa"/>
            <w:gridSpan w:val="3"/>
            <w:shd w:val="clear" w:color="000000" w:fill="FFFFFF"/>
            <w:vAlign w:val="bottom"/>
          </w:tcPr>
          <w:p w14:paraId="1D9BC1A3" w14:textId="1EEB5736" w:rsidR="002C4E4F" w:rsidRPr="002C4E4F" w:rsidRDefault="006161FC" w:rsidP="00907880">
            <w:pPr>
              <w:spacing w:after="0" w:line="240" w:lineRule="auto"/>
              <w:rPr>
                <w:rFonts w:eastAsia="Times New Roman" w:cstheme="minorHAnsi"/>
                <w:b/>
                <w:bCs/>
                <w:sz w:val="20"/>
                <w:szCs w:val="20"/>
              </w:rPr>
            </w:pPr>
            <w:r w:rsidRPr="002C4E4F">
              <w:rPr>
                <w:rFonts w:eastAsia="Times New Roman" w:cstheme="minorHAnsi"/>
                <w:bCs/>
                <w:sz w:val="20"/>
                <w:szCs w:val="20"/>
              </w:rPr>
              <w:t xml:space="preserve">The total Mitigation Score (%) from the mitigation table is used </w:t>
            </w:r>
            <w:r w:rsidR="00F879E2" w:rsidRPr="002C4E4F">
              <w:rPr>
                <w:rFonts w:ascii="Calibri" w:eastAsia="Times New Roman" w:hAnsi="Calibri" w:cs="Calibri"/>
                <w:bCs/>
                <w:sz w:val="20"/>
                <w:szCs w:val="20"/>
              </w:rPr>
              <w:t>to determine the risk mitigation potential</w:t>
            </w:r>
          </w:p>
        </w:tc>
      </w:tr>
      <w:tr w:rsidR="002C4E4F" w:rsidRPr="002C4E4F" w14:paraId="21A90EF1" w14:textId="77777777" w:rsidTr="002C4E4F">
        <w:trPr>
          <w:trHeight w:val="413"/>
          <w:jc w:val="center"/>
        </w:trPr>
        <w:tc>
          <w:tcPr>
            <w:tcW w:w="3165" w:type="dxa"/>
            <w:shd w:val="clear" w:color="000000" w:fill="FFFFFF"/>
            <w:vAlign w:val="bottom"/>
            <w:hideMark/>
          </w:tcPr>
          <w:p w14:paraId="2F6EACA9" w14:textId="77777777" w:rsidR="002C4E4F" w:rsidRDefault="00AF337C" w:rsidP="00AF337C">
            <w:pPr>
              <w:spacing w:after="0" w:line="240" w:lineRule="auto"/>
              <w:jc w:val="center"/>
              <w:rPr>
                <w:rFonts w:eastAsia="Times New Roman" w:cstheme="minorHAnsi"/>
                <w:b/>
                <w:bCs/>
                <w:sz w:val="20"/>
                <w:szCs w:val="20"/>
              </w:rPr>
            </w:pPr>
            <w:r w:rsidRPr="00AF337C">
              <w:rPr>
                <w:rFonts w:eastAsia="Times New Roman" w:cstheme="minorHAnsi"/>
                <w:b/>
                <w:bCs/>
                <w:sz w:val="20"/>
                <w:szCs w:val="20"/>
              </w:rPr>
              <w:t xml:space="preserve">Stronger                          </w:t>
            </w:r>
          </w:p>
          <w:p w14:paraId="07482BAA" w14:textId="1BA74546" w:rsidR="00AF337C" w:rsidRPr="00AF337C" w:rsidRDefault="00AF337C" w:rsidP="00AF337C">
            <w:pPr>
              <w:spacing w:after="0" w:line="240" w:lineRule="auto"/>
              <w:jc w:val="center"/>
              <w:rPr>
                <w:rFonts w:eastAsia="Times New Roman" w:cstheme="minorHAnsi"/>
                <w:b/>
                <w:bCs/>
                <w:sz w:val="20"/>
                <w:szCs w:val="20"/>
              </w:rPr>
            </w:pPr>
            <w:r w:rsidRPr="00AF337C">
              <w:rPr>
                <w:rFonts w:eastAsia="Times New Roman" w:cstheme="minorHAnsi"/>
                <w:b/>
                <w:bCs/>
                <w:sz w:val="20"/>
                <w:szCs w:val="20"/>
              </w:rPr>
              <w:t>(75-100</w:t>
            </w:r>
            <w:r w:rsidR="006161FC">
              <w:rPr>
                <w:rFonts w:eastAsia="Times New Roman" w:cstheme="minorHAnsi"/>
                <w:b/>
                <w:bCs/>
                <w:sz w:val="20"/>
                <w:szCs w:val="20"/>
              </w:rPr>
              <w:t>%</w:t>
            </w:r>
            <w:r w:rsidRPr="00AF337C">
              <w:rPr>
                <w:rFonts w:eastAsia="Times New Roman" w:cstheme="minorHAnsi"/>
                <w:b/>
                <w:bCs/>
                <w:sz w:val="20"/>
                <w:szCs w:val="20"/>
              </w:rPr>
              <w:t>)</w:t>
            </w:r>
          </w:p>
        </w:tc>
        <w:tc>
          <w:tcPr>
            <w:tcW w:w="3100" w:type="dxa"/>
            <w:shd w:val="clear" w:color="000000" w:fill="FFFFFF"/>
            <w:vAlign w:val="bottom"/>
            <w:hideMark/>
          </w:tcPr>
          <w:p w14:paraId="6E9183FE" w14:textId="77777777" w:rsidR="002C4E4F" w:rsidRPr="002C4E4F" w:rsidRDefault="00AF337C" w:rsidP="00AF337C">
            <w:pPr>
              <w:spacing w:after="0" w:line="240" w:lineRule="auto"/>
              <w:jc w:val="center"/>
              <w:rPr>
                <w:rFonts w:eastAsia="Times New Roman" w:cstheme="minorHAnsi"/>
                <w:b/>
                <w:bCs/>
                <w:sz w:val="20"/>
                <w:szCs w:val="20"/>
              </w:rPr>
            </w:pPr>
            <w:r w:rsidRPr="00AF337C">
              <w:rPr>
                <w:rFonts w:eastAsia="Times New Roman" w:cstheme="minorHAnsi"/>
                <w:b/>
                <w:bCs/>
                <w:sz w:val="20"/>
                <w:szCs w:val="20"/>
              </w:rPr>
              <w:t xml:space="preserve">Moderate                    </w:t>
            </w:r>
          </w:p>
          <w:p w14:paraId="76BFBF58" w14:textId="7B1956BB" w:rsidR="00AF337C" w:rsidRPr="00AF337C" w:rsidRDefault="00AF337C" w:rsidP="00AF337C">
            <w:pPr>
              <w:spacing w:after="0" w:line="240" w:lineRule="auto"/>
              <w:jc w:val="center"/>
              <w:rPr>
                <w:rFonts w:eastAsia="Times New Roman" w:cstheme="minorHAnsi"/>
                <w:b/>
                <w:bCs/>
                <w:sz w:val="20"/>
                <w:szCs w:val="20"/>
              </w:rPr>
            </w:pPr>
            <w:r w:rsidRPr="00AF337C">
              <w:rPr>
                <w:rFonts w:eastAsia="Times New Roman" w:cstheme="minorHAnsi"/>
                <w:b/>
                <w:bCs/>
                <w:sz w:val="20"/>
                <w:szCs w:val="20"/>
              </w:rPr>
              <w:t>(25-75</w:t>
            </w:r>
            <w:r w:rsidR="006161FC">
              <w:rPr>
                <w:rFonts w:eastAsia="Times New Roman" w:cstheme="minorHAnsi"/>
                <w:b/>
                <w:bCs/>
                <w:sz w:val="20"/>
                <w:szCs w:val="20"/>
              </w:rPr>
              <w:t>%</w:t>
            </w:r>
            <w:r w:rsidRPr="00AF337C">
              <w:rPr>
                <w:rFonts w:eastAsia="Times New Roman" w:cstheme="minorHAnsi"/>
                <w:b/>
                <w:bCs/>
                <w:sz w:val="20"/>
                <w:szCs w:val="20"/>
              </w:rPr>
              <w:t>)</w:t>
            </w:r>
          </w:p>
        </w:tc>
        <w:tc>
          <w:tcPr>
            <w:tcW w:w="4085" w:type="dxa"/>
            <w:shd w:val="clear" w:color="000000" w:fill="FFFFFF"/>
            <w:vAlign w:val="bottom"/>
            <w:hideMark/>
          </w:tcPr>
          <w:p w14:paraId="0A70572D" w14:textId="77777777" w:rsidR="002C4E4F" w:rsidRPr="002C4E4F" w:rsidRDefault="00AF337C" w:rsidP="00AF337C">
            <w:pPr>
              <w:spacing w:after="0" w:line="240" w:lineRule="auto"/>
              <w:jc w:val="center"/>
              <w:rPr>
                <w:rFonts w:eastAsia="Times New Roman" w:cstheme="minorHAnsi"/>
                <w:b/>
                <w:bCs/>
                <w:sz w:val="20"/>
                <w:szCs w:val="20"/>
              </w:rPr>
            </w:pPr>
            <w:r w:rsidRPr="00AF337C">
              <w:rPr>
                <w:rFonts w:eastAsia="Times New Roman" w:cstheme="minorHAnsi"/>
                <w:b/>
                <w:bCs/>
                <w:sz w:val="20"/>
                <w:szCs w:val="20"/>
              </w:rPr>
              <w:t xml:space="preserve">Weaker                          </w:t>
            </w:r>
          </w:p>
          <w:p w14:paraId="351C81B7" w14:textId="16214F01" w:rsidR="00AF337C" w:rsidRPr="00AF337C" w:rsidRDefault="00AF337C" w:rsidP="00AF337C">
            <w:pPr>
              <w:spacing w:after="0" w:line="240" w:lineRule="auto"/>
              <w:jc w:val="center"/>
              <w:rPr>
                <w:rFonts w:eastAsia="Times New Roman" w:cstheme="minorHAnsi"/>
                <w:b/>
                <w:bCs/>
                <w:sz w:val="20"/>
                <w:szCs w:val="20"/>
              </w:rPr>
            </w:pPr>
            <w:r w:rsidRPr="00AF337C">
              <w:rPr>
                <w:rFonts w:eastAsia="Times New Roman" w:cstheme="minorHAnsi"/>
                <w:b/>
                <w:bCs/>
                <w:sz w:val="20"/>
                <w:szCs w:val="20"/>
              </w:rPr>
              <w:t>(0-25</w:t>
            </w:r>
            <w:r w:rsidR="006161FC">
              <w:rPr>
                <w:rFonts w:eastAsia="Times New Roman" w:cstheme="minorHAnsi"/>
                <w:b/>
                <w:bCs/>
                <w:sz w:val="20"/>
                <w:szCs w:val="20"/>
              </w:rPr>
              <w:t>%</w:t>
            </w:r>
            <w:r w:rsidRPr="00AF337C">
              <w:rPr>
                <w:rFonts w:eastAsia="Times New Roman" w:cstheme="minorHAnsi"/>
                <w:b/>
                <w:bCs/>
                <w:sz w:val="20"/>
                <w:szCs w:val="20"/>
              </w:rPr>
              <w:t>)</w:t>
            </w:r>
          </w:p>
        </w:tc>
      </w:tr>
      <w:tr w:rsidR="002C4E4F" w:rsidRPr="002C4E4F" w14:paraId="4D1BED52" w14:textId="77777777" w:rsidTr="002C4E4F">
        <w:trPr>
          <w:trHeight w:val="233"/>
          <w:jc w:val="center"/>
        </w:trPr>
        <w:tc>
          <w:tcPr>
            <w:tcW w:w="10350" w:type="dxa"/>
            <w:gridSpan w:val="3"/>
            <w:shd w:val="clear" w:color="000000" w:fill="FFFFFF"/>
            <w:vAlign w:val="bottom"/>
          </w:tcPr>
          <w:p w14:paraId="0F83C4A7" w14:textId="2859AC15" w:rsidR="002C4E4F" w:rsidRPr="002C4E4F" w:rsidRDefault="006161FC" w:rsidP="00907880">
            <w:pPr>
              <w:pStyle w:val="ListParagraph"/>
              <w:spacing w:after="0" w:line="240" w:lineRule="auto"/>
              <w:ind w:left="-18"/>
              <w:rPr>
                <w:rFonts w:eastAsia="Times New Roman" w:cstheme="minorHAnsi"/>
                <w:b/>
                <w:bCs/>
                <w:sz w:val="20"/>
                <w:szCs w:val="20"/>
              </w:rPr>
            </w:pPr>
            <w:r w:rsidRPr="002C4E4F">
              <w:rPr>
                <w:rFonts w:cstheme="minorHAnsi"/>
                <w:sz w:val="20"/>
                <w:szCs w:val="20"/>
                <w:shd w:val="clear" w:color="auto" w:fill="FFFFFF"/>
              </w:rPr>
              <w:t>The t</w:t>
            </w:r>
            <w:r w:rsidR="00F879E2">
              <w:rPr>
                <w:rFonts w:ascii="Calibri" w:eastAsia="Times New Roman" w:hAnsi="Calibri" w:cs="Calibri"/>
                <w:bCs/>
                <w:sz w:val="20"/>
                <w:szCs w:val="20"/>
              </w:rPr>
              <w:t>otal COVID-19 Risk Score from risk assessment t</w:t>
            </w:r>
            <w:r w:rsidRPr="002C4E4F">
              <w:rPr>
                <w:rFonts w:ascii="Calibri" w:eastAsia="Times New Roman" w:hAnsi="Calibri" w:cs="Calibri"/>
                <w:bCs/>
                <w:sz w:val="20"/>
                <w:szCs w:val="20"/>
              </w:rPr>
              <w:t xml:space="preserve">ab is used </w:t>
            </w:r>
            <w:r w:rsidR="00F879E2" w:rsidRPr="002C4E4F">
              <w:rPr>
                <w:rFonts w:eastAsia="Times New Roman" w:cstheme="minorHAnsi"/>
                <w:bCs/>
                <w:sz w:val="20"/>
                <w:szCs w:val="20"/>
              </w:rPr>
              <w:t>to determine the risk level</w:t>
            </w:r>
          </w:p>
        </w:tc>
      </w:tr>
      <w:tr w:rsidR="002C4E4F" w:rsidRPr="002C4E4F" w14:paraId="118BB34A" w14:textId="77777777" w:rsidTr="002C4E4F">
        <w:trPr>
          <w:trHeight w:val="413"/>
          <w:jc w:val="center"/>
        </w:trPr>
        <w:tc>
          <w:tcPr>
            <w:tcW w:w="3165" w:type="dxa"/>
            <w:shd w:val="clear" w:color="000000" w:fill="FFFFFF"/>
            <w:vAlign w:val="bottom"/>
          </w:tcPr>
          <w:p w14:paraId="5BD8BC10" w14:textId="77777777" w:rsidR="002C4E4F" w:rsidRPr="002C4E4F" w:rsidRDefault="002C4E4F" w:rsidP="002C4E4F">
            <w:pPr>
              <w:spacing w:after="0" w:line="240" w:lineRule="auto"/>
              <w:jc w:val="center"/>
              <w:rPr>
                <w:rFonts w:eastAsia="Times New Roman" w:cstheme="minorHAnsi"/>
                <w:b/>
                <w:bCs/>
                <w:sz w:val="20"/>
                <w:szCs w:val="20"/>
              </w:rPr>
            </w:pPr>
            <w:r w:rsidRPr="002C4E4F">
              <w:rPr>
                <w:rFonts w:eastAsia="Times New Roman" w:cstheme="minorHAnsi"/>
                <w:b/>
                <w:bCs/>
                <w:sz w:val="20"/>
                <w:szCs w:val="20"/>
              </w:rPr>
              <w:t>High</w:t>
            </w:r>
            <w:r w:rsidRPr="00AF337C">
              <w:rPr>
                <w:rFonts w:eastAsia="Times New Roman" w:cstheme="minorHAnsi"/>
                <w:b/>
                <w:bCs/>
                <w:sz w:val="20"/>
                <w:szCs w:val="20"/>
              </w:rPr>
              <w:t xml:space="preserve">                         </w:t>
            </w:r>
          </w:p>
          <w:p w14:paraId="57295CD8" w14:textId="3B9E067B" w:rsidR="002C4E4F" w:rsidRPr="002C4E4F" w:rsidRDefault="002C4E4F" w:rsidP="006161FC">
            <w:pPr>
              <w:spacing w:after="0" w:line="240" w:lineRule="auto"/>
              <w:jc w:val="center"/>
              <w:rPr>
                <w:rFonts w:eastAsia="Times New Roman" w:cstheme="minorHAnsi"/>
                <w:b/>
                <w:bCs/>
                <w:sz w:val="20"/>
                <w:szCs w:val="20"/>
              </w:rPr>
            </w:pPr>
            <w:r w:rsidRPr="00AF337C">
              <w:rPr>
                <w:rFonts w:eastAsia="Times New Roman" w:cstheme="minorHAnsi"/>
                <w:b/>
                <w:bCs/>
                <w:sz w:val="20"/>
                <w:szCs w:val="20"/>
              </w:rPr>
              <w:t>(</w:t>
            </w:r>
            <w:r w:rsidR="006161FC">
              <w:rPr>
                <w:rFonts w:eastAsia="Times New Roman" w:cstheme="minorHAnsi"/>
                <w:b/>
                <w:bCs/>
                <w:sz w:val="20"/>
                <w:szCs w:val="20"/>
              </w:rPr>
              <w:t>27 or greater)</w:t>
            </w:r>
          </w:p>
        </w:tc>
        <w:tc>
          <w:tcPr>
            <w:tcW w:w="3100" w:type="dxa"/>
            <w:shd w:val="clear" w:color="000000" w:fill="FFFFFF"/>
            <w:vAlign w:val="bottom"/>
          </w:tcPr>
          <w:p w14:paraId="7C509448" w14:textId="77777777" w:rsidR="002C4E4F" w:rsidRPr="002C4E4F" w:rsidRDefault="002C4E4F" w:rsidP="002C4E4F">
            <w:pPr>
              <w:spacing w:after="0" w:line="240" w:lineRule="auto"/>
              <w:jc w:val="center"/>
              <w:rPr>
                <w:rFonts w:eastAsia="Times New Roman" w:cstheme="minorHAnsi"/>
                <w:b/>
                <w:bCs/>
                <w:sz w:val="20"/>
                <w:szCs w:val="20"/>
              </w:rPr>
            </w:pPr>
            <w:r w:rsidRPr="002C4E4F">
              <w:rPr>
                <w:rFonts w:eastAsia="Times New Roman" w:cstheme="minorHAnsi"/>
                <w:b/>
                <w:bCs/>
                <w:sz w:val="20"/>
                <w:szCs w:val="20"/>
              </w:rPr>
              <w:t>Medium</w:t>
            </w:r>
            <w:r w:rsidRPr="00AF337C">
              <w:rPr>
                <w:rFonts w:eastAsia="Times New Roman" w:cstheme="minorHAnsi"/>
                <w:b/>
                <w:bCs/>
                <w:sz w:val="20"/>
                <w:szCs w:val="20"/>
              </w:rPr>
              <w:t xml:space="preserve">                    </w:t>
            </w:r>
          </w:p>
          <w:p w14:paraId="68DBB949" w14:textId="5D5EF60F" w:rsidR="002C4E4F" w:rsidRPr="002C4E4F" w:rsidRDefault="002C4E4F" w:rsidP="006161FC">
            <w:pPr>
              <w:spacing w:after="0" w:line="240" w:lineRule="auto"/>
              <w:jc w:val="center"/>
              <w:rPr>
                <w:rFonts w:eastAsia="Times New Roman" w:cstheme="minorHAnsi"/>
                <w:b/>
                <w:bCs/>
                <w:sz w:val="20"/>
                <w:szCs w:val="20"/>
              </w:rPr>
            </w:pPr>
            <w:r w:rsidRPr="00AF337C">
              <w:rPr>
                <w:rFonts w:eastAsia="Times New Roman" w:cstheme="minorHAnsi"/>
                <w:b/>
                <w:bCs/>
                <w:sz w:val="20"/>
                <w:szCs w:val="20"/>
              </w:rPr>
              <w:t>(</w:t>
            </w:r>
            <w:r w:rsidR="006161FC">
              <w:rPr>
                <w:rFonts w:eastAsia="Times New Roman" w:cstheme="minorHAnsi"/>
                <w:b/>
                <w:bCs/>
                <w:sz w:val="20"/>
                <w:szCs w:val="20"/>
              </w:rPr>
              <w:t>20-26)</w:t>
            </w:r>
          </w:p>
        </w:tc>
        <w:tc>
          <w:tcPr>
            <w:tcW w:w="4085" w:type="dxa"/>
            <w:shd w:val="clear" w:color="000000" w:fill="FFFFFF"/>
            <w:vAlign w:val="bottom"/>
          </w:tcPr>
          <w:p w14:paraId="7D5D6719" w14:textId="77777777" w:rsidR="002C4E4F" w:rsidRPr="002C4E4F" w:rsidRDefault="002C4E4F" w:rsidP="002C4E4F">
            <w:pPr>
              <w:spacing w:after="0" w:line="240" w:lineRule="auto"/>
              <w:jc w:val="center"/>
              <w:rPr>
                <w:rFonts w:eastAsia="Times New Roman" w:cstheme="minorHAnsi"/>
                <w:b/>
                <w:bCs/>
                <w:sz w:val="20"/>
                <w:szCs w:val="20"/>
              </w:rPr>
            </w:pPr>
            <w:r w:rsidRPr="002C4E4F">
              <w:rPr>
                <w:rFonts w:eastAsia="Times New Roman" w:cstheme="minorHAnsi"/>
                <w:b/>
                <w:bCs/>
                <w:sz w:val="20"/>
                <w:szCs w:val="20"/>
              </w:rPr>
              <w:t xml:space="preserve">Low  </w:t>
            </w:r>
            <w:r w:rsidRPr="00AF337C">
              <w:rPr>
                <w:rFonts w:eastAsia="Times New Roman" w:cstheme="minorHAnsi"/>
                <w:b/>
                <w:bCs/>
                <w:sz w:val="20"/>
                <w:szCs w:val="20"/>
              </w:rPr>
              <w:t xml:space="preserve">                          </w:t>
            </w:r>
          </w:p>
          <w:p w14:paraId="50601829" w14:textId="6D2155AF" w:rsidR="002C4E4F" w:rsidRPr="002C4E4F" w:rsidRDefault="002C4E4F" w:rsidP="006161FC">
            <w:pPr>
              <w:spacing w:after="0" w:line="240" w:lineRule="auto"/>
              <w:jc w:val="center"/>
              <w:rPr>
                <w:rFonts w:eastAsia="Times New Roman" w:cstheme="minorHAnsi"/>
                <w:b/>
                <w:bCs/>
                <w:sz w:val="20"/>
                <w:szCs w:val="20"/>
              </w:rPr>
            </w:pPr>
            <w:r w:rsidRPr="00AF337C">
              <w:rPr>
                <w:rFonts w:eastAsia="Times New Roman" w:cstheme="minorHAnsi"/>
                <w:b/>
                <w:bCs/>
                <w:sz w:val="20"/>
                <w:szCs w:val="20"/>
              </w:rPr>
              <w:t>(</w:t>
            </w:r>
            <w:r w:rsidR="006161FC">
              <w:rPr>
                <w:rFonts w:eastAsia="Times New Roman" w:cstheme="minorHAnsi"/>
                <w:b/>
                <w:bCs/>
                <w:sz w:val="20"/>
                <w:szCs w:val="20"/>
              </w:rPr>
              <w:t>1-19)</w:t>
            </w:r>
          </w:p>
        </w:tc>
      </w:tr>
    </w:tbl>
    <w:p w14:paraId="5169A1F3" w14:textId="77777777" w:rsidR="0046442C" w:rsidRDefault="0046442C" w:rsidP="000D2EFC">
      <w:pPr>
        <w:pStyle w:val="NoSpacing"/>
        <w:jc w:val="right"/>
        <w:rPr>
          <w:sz w:val="16"/>
          <w:szCs w:val="16"/>
        </w:rPr>
      </w:pPr>
    </w:p>
    <w:p w14:paraId="758C2EBE" w14:textId="77777777" w:rsidR="00086285" w:rsidRPr="00086285" w:rsidRDefault="00086285" w:rsidP="00086285"/>
    <w:p w14:paraId="3DCF5BA5" w14:textId="44A72E33" w:rsidR="000D2EFC" w:rsidRDefault="000D2EFC" w:rsidP="00907880">
      <w:pPr>
        <w:shd w:val="clear" w:color="auto" w:fill="FFFFFF"/>
        <w:spacing w:before="100" w:beforeAutospacing="1" w:after="0" w:line="240" w:lineRule="auto"/>
        <w:jc w:val="center"/>
        <w:rPr>
          <w:rFonts w:eastAsia="Times New Roman" w:cstheme="minorHAnsi"/>
          <w:b/>
          <w:noProof/>
        </w:rPr>
      </w:pPr>
      <w:r w:rsidRPr="000D2EFC">
        <w:rPr>
          <w:rFonts w:eastAsia="Times New Roman" w:cstheme="minorHAnsi"/>
          <w:b/>
          <w:noProof/>
        </w:rPr>
        <w:t>Table 2 Risk Assessment Flow Chart</w:t>
      </w:r>
    </w:p>
    <w:p w14:paraId="5CA43650" w14:textId="77777777" w:rsidR="00907880" w:rsidRPr="00907880" w:rsidRDefault="00907880" w:rsidP="00907880">
      <w:pPr>
        <w:pStyle w:val="NoSpacing"/>
        <w:jc w:val="center"/>
        <w:rPr>
          <w:sz w:val="20"/>
          <w:shd w:val="clear" w:color="auto" w:fill="FFFFFF"/>
        </w:rPr>
      </w:pPr>
    </w:p>
    <w:p w14:paraId="60AB550F" w14:textId="7BD25194" w:rsidR="00BC4ED0" w:rsidRPr="001A6D3A" w:rsidRDefault="00730CC0" w:rsidP="00907880">
      <w:pPr>
        <w:shd w:val="clear" w:color="auto" w:fill="FFFFFF"/>
        <w:spacing w:before="100" w:beforeAutospacing="1" w:after="0" w:line="240" w:lineRule="auto"/>
        <w:jc w:val="center"/>
        <w:rPr>
          <w:rFonts w:eastAsia="Times New Roman" w:cstheme="minorHAnsi"/>
        </w:rPr>
      </w:pPr>
      <w:r>
        <w:rPr>
          <w:rFonts w:eastAsia="Times New Roman" w:cstheme="minorHAnsi"/>
          <w:noProof/>
          <w:lang w:val="en-CA" w:eastAsia="en-CA"/>
        </w:rPr>
        <w:drawing>
          <wp:inline distT="0" distB="0" distL="0" distR="0" wp14:anchorId="347E91E3" wp14:editId="7DF9501A">
            <wp:extent cx="6296025" cy="3038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3038475"/>
                    </a:xfrm>
                    <a:prstGeom prst="rect">
                      <a:avLst/>
                    </a:prstGeom>
                    <a:noFill/>
                    <a:ln>
                      <a:noFill/>
                    </a:ln>
                  </pic:spPr>
                </pic:pic>
              </a:graphicData>
            </a:graphic>
          </wp:inline>
        </w:drawing>
      </w:r>
    </w:p>
    <w:p w14:paraId="4C636ADF" w14:textId="556D0276" w:rsidR="00107921" w:rsidRDefault="00A42567" w:rsidP="00216BE1">
      <w:pPr>
        <w:shd w:val="clear" w:color="auto" w:fill="FFFFFF"/>
        <w:spacing w:before="100" w:beforeAutospacing="1" w:after="100" w:afterAutospacing="1" w:line="240" w:lineRule="auto"/>
        <w:rPr>
          <w:rFonts w:eastAsia="Times New Roman" w:cstheme="minorHAnsi"/>
          <w:b/>
        </w:rPr>
      </w:pPr>
      <w:r>
        <w:rPr>
          <w:rFonts w:eastAsia="Times New Roman" w:cstheme="minorHAnsi"/>
          <w:b/>
        </w:rPr>
        <w:t>*</w:t>
      </w:r>
      <w:r w:rsidR="00107921">
        <w:rPr>
          <w:rFonts w:eastAsia="Times New Roman" w:cstheme="minorHAnsi"/>
          <w:b/>
        </w:rPr>
        <w:t xml:space="preserve">This tool was developed with reference to the Government of Canada COVID-19 Guidance Documents and the World Health Organization COVID-19 </w:t>
      </w:r>
      <w:r>
        <w:rPr>
          <w:rFonts w:eastAsia="Times New Roman" w:cstheme="minorHAnsi"/>
          <w:b/>
        </w:rPr>
        <w:t>Risk Assessment Tool – Generic Events</w:t>
      </w:r>
    </w:p>
    <w:p w14:paraId="3E07D5A6" w14:textId="4329776B" w:rsidR="00433425" w:rsidRDefault="00433425" w:rsidP="00907880">
      <w:pPr>
        <w:shd w:val="clear" w:color="auto" w:fill="FFFFFF"/>
        <w:tabs>
          <w:tab w:val="left" w:pos="900"/>
        </w:tabs>
        <w:spacing w:before="100" w:beforeAutospacing="1" w:after="100" w:afterAutospacing="1" w:line="240" w:lineRule="auto"/>
        <w:rPr>
          <w:rFonts w:eastAsia="Times New Roman" w:cstheme="minorHAnsi"/>
          <w:b/>
        </w:rPr>
      </w:pPr>
    </w:p>
    <w:p w14:paraId="28D7129F" w14:textId="77777777" w:rsidR="00322635" w:rsidRDefault="00322635" w:rsidP="00907880">
      <w:pPr>
        <w:shd w:val="clear" w:color="auto" w:fill="FFFFFF"/>
        <w:tabs>
          <w:tab w:val="left" w:pos="900"/>
        </w:tabs>
        <w:spacing w:before="100" w:beforeAutospacing="1" w:after="100" w:afterAutospacing="1" w:line="240" w:lineRule="auto"/>
        <w:rPr>
          <w:rFonts w:eastAsia="Times New Roman" w:cstheme="minorHAnsi"/>
          <w:b/>
        </w:rPr>
      </w:pPr>
    </w:p>
    <w:p w14:paraId="7A29A3AE" w14:textId="631B40D8" w:rsidR="00216BE1" w:rsidRDefault="00730CC0" w:rsidP="00907880">
      <w:pPr>
        <w:shd w:val="clear" w:color="auto" w:fill="FFFFFF"/>
        <w:spacing w:before="100" w:beforeAutospacing="1" w:after="100" w:afterAutospacing="1" w:line="240" w:lineRule="auto"/>
        <w:jc w:val="center"/>
        <w:rPr>
          <w:rFonts w:eastAsia="Times New Roman" w:cstheme="minorHAnsi"/>
          <w:b/>
        </w:rPr>
      </w:pPr>
      <w:r>
        <w:rPr>
          <w:rFonts w:eastAsia="Times New Roman" w:cstheme="minorHAnsi"/>
          <w:b/>
        </w:rPr>
        <w:lastRenderedPageBreak/>
        <w:t>Table 3 Governm</w:t>
      </w:r>
      <w:r w:rsidR="00364C89">
        <w:rPr>
          <w:rFonts w:eastAsia="Times New Roman" w:cstheme="minorHAnsi"/>
          <w:b/>
        </w:rPr>
        <w:t>e</w:t>
      </w:r>
      <w:r>
        <w:rPr>
          <w:rFonts w:eastAsia="Times New Roman" w:cstheme="minorHAnsi"/>
          <w:b/>
        </w:rPr>
        <w:t>nt of Canada’s Guide for Going out Safely</w:t>
      </w:r>
    </w:p>
    <w:p w14:paraId="3A9D1080" w14:textId="18829D7F" w:rsidR="00794FBB" w:rsidRDefault="00730CC0" w:rsidP="00107921">
      <w:pPr>
        <w:shd w:val="clear" w:color="auto" w:fill="FFFFFF"/>
        <w:spacing w:before="100" w:beforeAutospacing="1" w:after="100" w:afterAutospacing="1" w:line="240" w:lineRule="auto"/>
        <w:jc w:val="center"/>
        <w:rPr>
          <w:sz w:val="16"/>
          <w:szCs w:val="16"/>
        </w:rPr>
      </w:pPr>
      <w:r>
        <w:rPr>
          <w:rFonts w:eastAsia="Times New Roman" w:cstheme="minorHAnsi"/>
          <w:noProof/>
          <w:lang w:val="en-CA" w:eastAsia="en-CA"/>
        </w:rPr>
        <w:drawing>
          <wp:inline distT="0" distB="0" distL="0" distR="0" wp14:anchorId="3479AE7D" wp14:editId="08A1E172">
            <wp:extent cx="4512950" cy="73437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19-gt-eng-page-001.jpg"/>
                    <pic:cNvPicPr/>
                  </pic:nvPicPr>
                  <pic:blipFill rotWithShape="1">
                    <a:blip r:embed="rId10" cstate="print">
                      <a:extLst>
                        <a:ext uri="{28A0092B-C50C-407E-A947-70E740481C1C}">
                          <a14:useLocalDpi xmlns:a14="http://schemas.microsoft.com/office/drawing/2010/main" val="0"/>
                        </a:ext>
                      </a:extLst>
                    </a:blip>
                    <a:srcRect l="2770" t="32917" r="3212"/>
                    <a:stretch/>
                  </pic:blipFill>
                  <pic:spPr bwMode="auto">
                    <a:xfrm>
                      <a:off x="0" y="0"/>
                      <a:ext cx="4550416" cy="7404742"/>
                    </a:xfrm>
                    <a:prstGeom prst="rect">
                      <a:avLst/>
                    </a:prstGeom>
                    <a:ln>
                      <a:noFill/>
                    </a:ln>
                    <a:extLst>
                      <a:ext uri="{53640926-AAD7-44D8-BBD7-CCE9431645EC}">
                        <a14:shadowObscured xmlns:a14="http://schemas.microsoft.com/office/drawing/2010/main"/>
                      </a:ext>
                    </a:extLst>
                  </pic:spPr>
                </pic:pic>
              </a:graphicData>
            </a:graphic>
          </wp:inline>
        </w:drawing>
      </w:r>
    </w:p>
    <w:p w14:paraId="65E0DD69" w14:textId="7E9B01E6" w:rsidR="00D71E94" w:rsidRDefault="00D71E94" w:rsidP="00107921">
      <w:pPr>
        <w:shd w:val="clear" w:color="auto" w:fill="FFFFFF"/>
        <w:spacing w:before="100" w:beforeAutospacing="1" w:after="100" w:afterAutospacing="1" w:line="240" w:lineRule="auto"/>
        <w:jc w:val="center"/>
        <w:rPr>
          <w:sz w:val="16"/>
          <w:szCs w:val="16"/>
        </w:rPr>
      </w:pPr>
    </w:p>
    <w:p w14:paraId="1BA4BEF5" w14:textId="1A3E6DC9" w:rsidR="00D71E94" w:rsidRDefault="00D71E94" w:rsidP="00107921">
      <w:pPr>
        <w:shd w:val="clear" w:color="auto" w:fill="FFFFFF"/>
        <w:spacing w:before="100" w:beforeAutospacing="1" w:after="100" w:afterAutospacing="1" w:line="240" w:lineRule="auto"/>
        <w:jc w:val="center"/>
        <w:rPr>
          <w:sz w:val="16"/>
          <w:szCs w:val="16"/>
        </w:rPr>
      </w:pPr>
    </w:p>
    <w:p w14:paraId="68067502" w14:textId="5AC3C862" w:rsidR="00D71E94" w:rsidRDefault="00D71E94" w:rsidP="00107921">
      <w:pPr>
        <w:shd w:val="clear" w:color="auto" w:fill="FFFFFF"/>
        <w:spacing w:before="100" w:beforeAutospacing="1" w:after="100" w:afterAutospacing="1" w:line="240" w:lineRule="auto"/>
        <w:jc w:val="center"/>
        <w:rPr>
          <w:sz w:val="16"/>
          <w:szCs w:val="16"/>
        </w:rPr>
      </w:pPr>
    </w:p>
    <w:p w14:paraId="12D156D6" w14:textId="5DF233EE" w:rsidR="00D71E94" w:rsidRPr="004C7E4F" w:rsidRDefault="009748E1" w:rsidP="00322635">
      <w:pPr>
        <w:rPr>
          <w:rFonts w:eastAsia="Times New Roman" w:cstheme="minorHAnsi"/>
          <w:b/>
          <w:bCs/>
        </w:rPr>
      </w:pPr>
      <w:r>
        <w:rPr>
          <w:rFonts w:eastAsia="Times New Roman" w:cstheme="minorHAnsi"/>
          <w:b/>
          <w:bCs/>
        </w:rPr>
        <w:br w:type="page"/>
      </w:r>
      <w:r w:rsidR="00D71E94" w:rsidRPr="004C7E4F">
        <w:rPr>
          <w:rFonts w:eastAsia="Times New Roman" w:cstheme="minorHAnsi"/>
          <w:b/>
          <w:bCs/>
        </w:rPr>
        <w:lastRenderedPageBreak/>
        <w:t xml:space="preserve">Legal </w:t>
      </w:r>
      <w:r>
        <w:rPr>
          <w:rFonts w:eastAsia="Times New Roman" w:cstheme="minorHAnsi"/>
          <w:b/>
          <w:bCs/>
        </w:rPr>
        <w:t>Considerations</w:t>
      </w:r>
      <w:r w:rsidR="00D71E94" w:rsidRPr="004C7E4F">
        <w:rPr>
          <w:rFonts w:eastAsia="Times New Roman" w:cstheme="minorHAnsi"/>
          <w:b/>
          <w:bCs/>
        </w:rPr>
        <w:t xml:space="preserve">: </w:t>
      </w:r>
    </w:p>
    <w:p w14:paraId="03FD023F" w14:textId="41545CE0" w:rsidR="00D71E94" w:rsidRDefault="00D71E94" w:rsidP="00D71E94">
      <w:pPr>
        <w:shd w:val="clear" w:color="auto" w:fill="FFFFFF"/>
        <w:spacing w:after="0" w:line="240" w:lineRule="auto"/>
        <w:rPr>
          <w:rFonts w:eastAsia="Times New Roman" w:cstheme="minorHAnsi"/>
        </w:rPr>
      </w:pPr>
      <w:r>
        <w:rPr>
          <w:rFonts w:eastAsia="Times New Roman" w:cstheme="minorHAnsi"/>
        </w:rPr>
        <w:t xml:space="preserve">The Risk Assessment Tool should be used in accordance with current legislation, regulations, ministerial directives and public health guidance related to COVID-19. Note that Ontario is currently in a </w:t>
      </w:r>
      <w:r w:rsidRPr="004C7E4F">
        <w:rPr>
          <w:rFonts w:eastAsia="Times New Roman" w:cstheme="minorHAnsi"/>
          <w:b/>
          <w:bCs/>
        </w:rPr>
        <w:t>declared state of emergency</w:t>
      </w:r>
      <w:r>
        <w:rPr>
          <w:rFonts w:eastAsia="Times New Roman" w:cstheme="minorHAnsi"/>
        </w:rPr>
        <w:t xml:space="preserve"> under section </w:t>
      </w:r>
      <w:r w:rsidRPr="009E3AA0">
        <w:rPr>
          <w:rFonts w:eastAsia="Times New Roman" w:cstheme="minorHAnsi"/>
        </w:rPr>
        <w:t>7.0.1 of the Emergency Management and Civil Protection Act (</w:t>
      </w:r>
      <w:r>
        <w:rPr>
          <w:rFonts w:eastAsia="Times New Roman" w:cstheme="minorHAnsi"/>
        </w:rPr>
        <w:t>the “</w:t>
      </w:r>
      <w:r w:rsidRPr="009E3AA0">
        <w:rPr>
          <w:rFonts w:eastAsia="Times New Roman" w:cstheme="minorHAnsi"/>
          <w:b/>
          <w:bCs/>
        </w:rPr>
        <w:t>EMCPA”</w:t>
      </w:r>
      <w:r w:rsidRPr="009E3AA0">
        <w:rPr>
          <w:rFonts w:eastAsia="Times New Roman" w:cstheme="minorHAnsi"/>
        </w:rPr>
        <w:t>)</w:t>
      </w:r>
      <w:r>
        <w:rPr>
          <w:rFonts w:eastAsia="Times New Roman" w:cstheme="minorHAnsi"/>
        </w:rPr>
        <w:t xml:space="preserve"> which provides the provincial government additional powers to determine what can and cannot be open in the province and greater enforcement powers. Under the EMCPA there is also a </w:t>
      </w:r>
      <w:r w:rsidRPr="004C7E4F">
        <w:rPr>
          <w:rFonts w:eastAsia="Times New Roman" w:cstheme="minorHAnsi"/>
          <w:b/>
          <w:bCs/>
        </w:rPr>
        <w:t>Stay-at-Home Order</w:t>
      </w:r>
      <w:r>
        <w:rPr>
          <w:rFonts w:eastAsia="Times New Roman" w:cstheme="minorHAnsi"/>
        </w:rPr>
        <w:t xml:space="preserve"> in effect until at least February 9, 2021. As a result of these orders, there are significant limits to what businesses are open and activities/programs can continue to operate at this time, and any community activity should be considered ‘high risk.</w:t>
      </w:r>
      <w:r w:rsidR="00F85AE2">
        <w:rPr>
          <w:rFonts w:eastAsia="Times New Roman" w:cstheme="minorHAnsi"/>
        </w:rPr>
        <w:t>’</w:t>
      </w:r>
    </w:p>
    <w:p w14:paraId="78ECF4C4" w14:textId="35770C2C" w:rsidR="00D71E94" w:rsidRDefault="00D71E94" w:rsidP="00D71E94">
      <w:pPr>
        <w:shd w:val="clear" w:color="auto" w:fill="FFFFFF"/>
        <w:spacing w:after="0" w:line="240" w:lineRule="auto"/>
        <w:rPr>
          <w:rFonts w:eastAsia="Times New Roman" w:cstheme="minorHAnsi"/>
        </w:rPr>
      </w:pPr>
    </w:p>
    <w:p w14:paraId="1C4BEEB3" w14:textId="294E077B" w:rsidR="00D71E94" w:rsidRDefault="00E47286" w:rsidP="00D71E94">
      <w:pPr>
        <w:shd w:val="clear" w:color="auto" w:fill="FFFFFF"/>
        <w:spacing w:after="0" w:line="240" w:lineRule="auto"/>
        <w:rPr>
          <w:rFonts w:eastAsia="Times New Roman" w:cstheme="minorHAnsi"/>
        </w:rPr>
      </w:pPr>
      <w:r>
        <w:rPr>
          <w:rFonts w:eastAsia="Times New Roman" w:cstheme="minorHAnsi"/>
        </w:rPr>
        <w:t xml:space="preserve">The Risk Assessment Tool will </w:t>
      </w:r>
      <w:r w:rsidR="00F85AE2">
        <w:rPr>
          <w:rFonts w:eastAsia="Times New Roman" w:cstheme="minorHAnsi"/>
        </w:rPr>
        <w:t xml:space="preserve">be applicable </w:t>
      </w:r>
      <w:r>
        <w:rPr>
          <w:rFonts w:eastAsia="Times New Roman" w:cstheme="minorHAnsi"/>
        </w:rPr>
        <w:t xml:space="preserve">once the province transitions back to reopening. </w:t>
      </w:r>
    </w:p>
    <w:p w14:paraId="28110B44" w14:textId="77777777" w:rsidR="00D71E94" w:rsidRDefault="00D71E94" w:rsidP="00D71E94">
      <w:pPr>
        <w:shd w:val="clear" w:color="auto" w:fill="FFFFFF"/>
        <w:spacing w:after="0" w:line="240" w:lineRule="auto"/>
        <w:rPr>
          <w:rFonts w:eastAsia="Times New Roman" w:cstheme="minorHAnsi"/>
        </w:rPr>
      </w:pPr>
    </w:p>
    <w:p w14:paraId="30E9F90F" w14:textId="77777777" w:rsidR="00D71E94" w:rsidRPr="004C7E4F" w:rsidRDefault="00D71E94" w:rsidP="00D71E94">
      <w:pPr>
        <w:shd w:val="clear" w:color="auto" w:fill="FFFFFF"/>
        <w:spacing w:after="0" w:line="240" w:lineRule="auto"/>
        <w:rPr>
          <w:rFonts w:eastAsia="Times New Roman" w:cstheme="minorHAnsi"/>
          <w:i/>
          <w:iCs/>
        </w:rPr>
      </w:pPr>
      <w:r>
        <w:rPr>
          <w:rFonts w:eastAsia="Times New Roman" w:cstheme="minorHAnsi"/>
          <w:i/>
          <w:iCs/>
        </w:rPr>
        <w:t>Reopening Framework</w:t>
      </w:r>
    </w:p>
    <w:p w14:paraId="1B04879F" w14:textId="7A09595C" w:rsidR="00D71E94" w:rsidRDefault="00D71E94" w:rsidP="00D71E94">
      <w:pPr>
        <w:shd w:val="clear" w:color="auto" w:fill="FFFFFF"/>
        <w:spacing w:after="0" w:line="240" w:lineRule="auto"/>
        <w:rPr>
          <w:rFonts w:eastAsia="Times New Roman" w:cstheme="minorHAnsi"/>
        </w:rPr>
      </w:pPr>
    </w:p>
    <w:p w14:paraId="17D3AA11" w14:textId="417DA720" w:rsidR="00D71E94" w:rsidRDefault="00D71E94" w:rsidP="00D71E94">
      <w:pPr>
        <w:shd w:val="clear" w:color="auto" w:fill="FFFFFF"/>
        <w:spacing w:after="0" w:line="240" w:lineRule="auto"/>
        <w:rPr>
          <w:rFonts w:eastAsia="Times New Roman" w:cstheme="minorHAnsi"/>
        </w:rPr>
      </w:pPr>
      <w:r>
        <w:rPr>
          <w:rFonts w:eastAsia="Times New Roman" w:cstheme="minorHAnsi"/>
        </w:rPr>
        <w:t xml:space="preserve">In July 2020, the province enacted the </w:t>
      </w:r>
      <w:r>
        <w:rPr>
          <w:rFonts w:eastAsia="Times New Roman" w:cstheme="minorHAnsi"/>
          <w:b/>
          <w:bCs/>
        </w:rPr>
        <w:t xml:space="preserve">Reopening Ontario Act </w:t>
      </w:r>
      <w:r>
        <w:rPr>
          <w:rFonts w:eastAsia="Times New Roman" w:cstheme="minorHAnsi"/>
        </w:rPr>
        <w:t>(the “</w:t>
      </w:r>
      <w:r>
        <w:rPr>
          <w:rFonts w:eastAsia="Times New Roman" w:cstheme="minorHAnsi"/>
          <w:b/>
          <w:bCs/>
        </w:rPr>
        <w:t>ROA”</w:t>
      </w:r>
      <w:r>
        <w:rPr>
          <w:rFonts w:eastAsia="Times New Roman" w:cstheme="minorHAnsi"/>
        </w:rPr>
        <w:t>) which established a framework</w:t>
      </w:r>
      <w:r>
        <w:rPr>
          <w:rStyle w:val="FootnoteReference"/>
          <w:rFonts w:eastAsia="Times New Roman" w:cstheme="minorHAnsi"/>
        </w:rPr>
        <w:footnoteReference w:id="1"/>
      </w:r>
      <w:r w:rsidR="00E47286">
        <w:rPr>
          <w:rFonts w:eastAsia="Times New Roman" w:cstheme="minorHAnsi"/>
        </w:rPr>
        <w:t xml:space="preserve"> </w:t>
      </w:r>
      <w:r>
        <w:rPr>
          <w:rFonts w:eastAsia="Times New Roman" w:cstheme="minorHAnsi"/>
        </w:rPr>
        <w:t xml:space="preserve">to classify individual regions in </w:t>
      </w:r>
      <w:proofErr w:type="spellStart"/>
      <w:r>
        <w:rPr>
          <w:rFonts w:eastAsia="Times New Roman" w:cstheme="minorHAnsi"/>
        </w:rPr>
        <w:t>colour</w:t>
      </w:r>
      <w:proofErr w:type="spellEnd"/>
      <w:r>
        <w:rPr>
          <w:rFonts w:eastAsia="Times New Roman" w:cstheme="minorHAnsi"/>
        </w:rPr>
        <w:t>-coded stages based on the risk level of that region:</w:t>
      </w:r>
    </w:p>
    <w:p w14:paraId="2E3016B5" w14:textId="0C8155DD" w:rsidR="00D71E94" w:rsidRDefault="0003147E" w:rsidP="00D71E94">
      <w:pPr>
        <w:shd w:val="clear" w:color="auto" w:fill="FFFFFF"/>
        <w:spacing w:after="0" w:line="240" w:lineRule="auto"/>
        <w:rPr>
          <w:rFonts w:eastAsia="Times New Roman" w:cstheme="minorHAnsi"/>
        </w:rPr>
      </w:pPr>
      <w:r>
        <w:rPr>
          <w:rFonts w:eastAsia="Times New Roman" w:cstheme="minorHAnsi"/>
          <w:noProof/>
        </w:rPr>
        <w:drawing>
          <wp:anchor distT="0" distB="0" distL="114300" distR="114300" simplePos="0" relativeHeight="251658240" behindDoc="0" locked="0" layoutInCell="1" allowOverlap="1" wp14:anchorId="4AE84C86" wp14:editId="0E9E8EB3">
            <wp:simplePos x="0" y="0"/>
            <wp:positionH relativeFrom="margin">
              <wp:posOffset>-77638</wp:posOffset>
            </wp:positionH>
            <wp:positionV relativeFrom="paragraph">
              <wp:posOffset>188751</wp:posOffset>
            </wp:positionV>
            <wp:extent cx="6858000" cy="1647190"/>
            <wp:effectExtent l="0" t="0" r="0" b="0"/>
            <wp:wrapSquare wrapText="bothSides"/>
            <wp:docPr id="3" name="Picture 3" descr="Website,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site, timelin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858000" cy="1647190"/>
                    </a:xfrm>
                    <a:prstGeom prst="rect">
                      <a:avLst/>
                    </a:prstGeom>
                  </pic:spPr>
                </pic:pic>
              </a:graphicData>
            </a:graphic>
          </wp:anchor>
        </w:drawing>
      </w:r>
    </w:p>
    <w:p w14:paraId="05E3F101" w14:textId="52AE85C4" w:rsidR="00D71E94" w:rsidRPr="00AC669E" w:rsidRDefault="00D71E94" w:rsidP="00D71E94">
      <w:pPr>
        <w:shd w:val="clear" w:color="auto" w:fill="FFFFFF"/>
        <w:spacing w:after="0" w:line="240" w:lineRule="auto"/>
        <w:rPr>
          <w:rFonts w:eastAsia="Times New Roman" w:cstheme="minorHAnsi"/>
        </w:rPr>
      </w:pPr>
    </w:p>
    <w:p w14:paraId="436A300F" w14:textId="77777777" w:rsidR="00D71E94" w:rsidRDefault="00D71E94" w:rsidP="00D71E94">
      <w:pPr>
        <w:shd w:val="clear" w:color="auto" w:fill="FFFFFF"/>
        <w:spacing w:after="0" w:line="240" w:lineRule="auto"/>
        <w:rPr>
          <w:rFonts w:eastAsia="Times New Roman" w:cstheme="minorHAnsi"/>
        </w:rPr>
      </w:pPr>
      <w:r>
        <w:rPr>
          <w:rFonts w:eastAsia="Times New Roman" w:cstheme="minorHAnsi"/>
        </w:rPr>
        <w:t>Areas deemed in the “grey” lockdown zone are considered to be high risk and in “Stage 1” of reopening.</w:t>
      </w:r>
      <w:r>
        <w:rPr>
          <w:rStyle w:val="FootnoteReference"/>
          <w:rFonts w:eastAsia="Times New Roman" w:cstheme="minorHAnsi"/>
        </w:rPr>
        <w:footnoteReference w:id="2"/>
      </w:r>
      <w:r>
        <w:rPr>
          <w:rFonts w:eastAsia="Times New Roman" w:cstheme="minorHAnsi"/>
        </w:rPr>
        <w:t xml:space="preserve"> At this stage there are </w:t>
      </w:r>
      <w:r w:rsidRPr="004C7E4F">
        <w:rPr>
          <w:rFonts w:eastAsia="Times New Roman" w:cstheme="minorHAnsi"/>
          <w:b/>
          <w:bCs/>
        </w:rPr>
        <w:t>maximum limits</w:t>
      </w:r>
      <w:r>
        <w:rPr>
          <w:rFonts w:eastAsia="Times New Roman" w:cstheme="minorHAnsi"/>
        </w:rPr>
        <w:t xml:space="preserve"> on which businesses/service providers can remain open, limits on capacity, and the mandating of individual requirements such as physical distancing, wearing a face mask/covering (with exceptions) when attending at a business or receiving a service.  </w:t>
      </w:r>
    </w:p>
    <w:p w14:paraId="5BC287A3" w14:textId="77777777" w:rsidR="00D71E94" w:rsidRDefault="00D71E94" w:rsidP="00D71E94">
      <w:pPr>
        <w:shd w:val="clear" w:color="auto" w:fill="FFFFFF"/>
        <w:spacing w:after="0" w:line="240" w:lineRule="auto"/>
        <w:rPr>
          <w:rFonts w:eastAsia="Times New Roman" w:cstheme="minorHAnsi"/>
        </w:rPr>
      </w:pPr>
    </w:p>
    <w:p w14:paraId="50DA7066" w14:textId="11DA86AA" w:rsidR="00D71E94" w:rsidRDefault="00D71E94" w:rsidP="00D71E94">
      <w:pPr>
        <w:shd w:val="clear" w:color="auto" w:fill="FFFFFF"/>
        <w:spacing w:after="0" w:line="240" w:lineRule="auto"/>
        <w:rPr>
          <w:rFonts w:eastAsia="Times New Roman" w:cstheme="minorHAnsi"/>
        </w:rPr>
      </w:pPr>
      <w:r>
        <w:rPr>
          <w:rFonts w:eastAsia="Times New Roman" w:cstheme="minorHAnsi"/>
        </w:rPr>
        <w:t>Areas deemed in the “red” zone are considered to be in “Stage 2” of reopening</w:t>
      </w:r>
      <w:r>
        <w:rPr>
          <w:rStyle w:val="FootnoteReference"/>
          <w:rFonts w:eastAsia="Times New Roman" w:cstheme="minorHAnsi"/>
        </w:rPr>
        <w:footnoteReference w:id="3"/>
      </w:r>
      <w:r>
        <w:rPr>
          <w:rFonts w:eastAsia="Times New Roman" w:cstheme="minorHAnsi"/>
        </w:rPr>
        <w:t xml:space="preserve"> </w:t>
      </w:r>
      <w:r w:rsidR="00F85AE2">
        <w:rPr>
          <w:rFonts w:eastAsia="Times New Roman" w:cstheme="minorHAnsi"/>
        </w:rPr>
        <w:t xml:space="preserve">and </w:t>
      </w:r>
      <w:r>
        <w:rPr>
          <w:rFonts w:eastAsia="Times New Roman" w:cstheme="minorHAnsi"/>
        </w:rPr>
        <w:t xml:space="preserve">are still under </w:t>
      </w:r>
      <w:r w:rsidRPr="004C7E4F">
        <w:rPr>
          <w:rFonts w:eastAsia="Times New Roman" w:cstheme="minorHAnsi"/>
          <w:b/>
          <w:bCs/>
        </w:rPr>
        <w:t>stringent limits</w:t>
      </w:r>
      <w:r>
        <w:rPr>
          <w:rFonts w:eastAsia="Times New Roman" w:cstheme="minorHAnsi"/>
          <w:b/>
          <w:bCs/>
        </w:rPr>
        <w:t xml:space="preserve"> </w:t>
      </w:r>
      <w:r>
        <w:rPr>
          <w:rFonts w:eastAsia="Times New Roman" w:cstheme="minorHAnsi"/>
        </w:rPr>
        <w:t>but more businesses/service providers are permitted to be open. There is still a significant risk to community outings and gatherings.</w:t>
      </w:r>
    </w:p>
    <w:p w14:paraId="6716E061" w14:textId="77777777" w:rsidR="00D71E94" w:rsidRDefault="00D71E94" w:rsidP="00D71E94">
      <w:pPr>
        <w:shd w:val="clear" w:color="auto" w:fill="FFFFFF"/>
        <w:spacing w:after="0" w:line="240" w:lineRule="auto"/>
        <w:rPr>
          <w:rFonts w:eastAsia="Times New Roman" w:cstheme="minorHAnsi"/>
        </w:rPr>
      </w:pPr>
    </w:p>
    <w:p w14:paraId="73AAD595" w14:textId="77777777" w:rsidR="00D71E94" w:rsidRDefault="00D71E94" w:rsidP="00D71E94">
      <w:pPr>
        <w:shd w:val="clear" w:color="auto" w:fill="FFFFFF"/>
        <w:spacing w:after="0" w:line="240" w:lineRule="auto"/>
        <w:rPr>
          <w:rFonts w:eastAsia="Times New Roman" w:cstheme="minorHAnsi"/>
        </w:rPr>
      </w:pPr>
      <w:r>
        <w:rPr>
          <w:rFonts w:eastAsia="Times New Roman" w:cstheme="minorHAnsi"/>
        </w:rPr>
        <w:t>Areas in the “orange” “yellow and “green” zones are considered to be in “Stage 3” of reopening.</w:t>
      </w:r>
      <w:r>
        <w:rPr>
          <w:rStyle w:val="FootnoteReference"/>
          <w:rFonts w:eastAsia="Times New Roman" w:cstheme="minorHAnsi"/>
        </w:rPr>
        <w:footnoteReference w:id="4"/>
      </w:r>
      <w:r>
        <w:rPr>
          <w:rFonts w:eastAsia="Times New Roman" w:cstheme="minorHAnsi"/>
        </w:rPr>
        <w:t xml:space="preserve"> Measures are more relaxed and there is lower risk of transmission, more business/service providers that are permitted to open and an overall lower risk associated with community outings. </w:t>
      </w:r>
    </w:p>
    <w:p w14:paraId="7BD0A7FE" w14:textId="77777777" w:rsidR="00D71E94" w:rsidRDefault="00D71E94" w:rsidP="00D71E94">
      <w:pPr>
        <w:shd w:val="clear" w:color="auto" w:fill="FFFFFF"/>
        <w:spacing w:after="0" w:line="240" w:lineRule="auto"/>
        <w:rPr>
          <w:rFonts w:eastAsia="Times New Roman" w:cstheme="minorHAnsi"/>
        </w:rPr>
      </w:pPr>
    </w:p>
    <w:p w14:paraId="0EC9A6A6" w14:textId="4384543F" w:rsidR="00D71E94" w:rsidRDefault="00D71E94" w:rsidP="00D71E94">
      <w:pPr>
        <w:shd w:val="clear" w:color="auto" w:fill="FFFFFF"/>
        <w:spacing w:after="0" w:line="240" w:lineRule="auto"/>
        <w:rPr>
          <w:rFonts w:eastAsia="Times New Roman" w:cstheme="minorHAnsi"/>
        </w:rPr>
      </w:pPr>
      <w:r>
        <w:rPr>
          <w:rFonts w:eastAsia="Times New Roman" w:cstheme="minorHAnsi"/>
        </w:rPr>
        <w:t>It is important to assess the risk</w:t>
      </w:r>
      <w:r w:rsidR="00E47286">
        <w:rPr>
          <w:rFonts w:eastAsia="Times New Roman" w:cstheme="minorHAnsi"/>
        </w:rPr>
        <w:t>s</w:t>
      </w:r>
      <w:r>
        <w:rPr>
          <w:rFonts w:eastAsia="Times New Roman" w:cstheme="minorHAnsi"/>
        </w:rPr>
        <w:t xml:space="preserve"> of outings and activities both in terms of the nature of the outing and/or activity but also where the outing and/or activity is taking place. The regulations for reopening, as amended from time to time, should guide the application of the Risk Assessment Tool</w:t>
      </w:r>
      <w:r w:rsidR="00F566C4">
        <w:rPr>
          <w:rFonts w:eastAsia="Times New Roman" w:cstheme="minorHAnsi"/>
        </w:rPr>
        <w:t xml:space="preserve">. Note that the legislated reopening framework is not determinative of risk for Developmental Services (“DS”) sector agencies and the people they support. </w:t>
      </w:r>
    </w:p>
    <w:p w14:paraId="690AED04" w14:textId="77777777" w:rsidR="00D71E94" w:rsidRDefault="00D71E94" w:rsidP="00D71E94">
      <w:pPr>
        <w:shd w:val="clear" w:color="auto" w:fill="FFFFFF"/>
        <w:spacing w:after="0" w:line="240" w:lineRule="auto"/>
        <w:rPr>
          <w:rFonts w:eastAsia="Times New Roman" w:cstheme="minorHAnsi"/>
        </w:rPr>
      </w:pPr>
    </w:p>
    <w:p w14:paraId="024C4C55" w14:textId="661686A4" w:rsidR="00D71E94" w:rsidRDefault="00E47286" w:rsidP="00D71E94">
      <w:pPr>
        <w:shd w:val="clear" w:color="auto" w:fill="FFFFFF"/>
        <w:spacing w:after="0" w:line="240" w:lineRule="auto"/>
      </w:pPr>
      <w:r>
        <w:rPr>
          <w:rFonts w:eastAsia="Times New Roman" w:cstheme="minorHAnsi"/>
        </w:rPr>
        <w:lastRenderedPageBreak/>
        <w:t xml:space="preserve">In addition to the parameters set out in the legislation with respect to reopening, when assessing risk, </w:t>
      </w:r>
      <w:r w:rsidR="00F566C4">
        <w:rPr>
          <w:rFonts w:eastAsia="Times New Roman" w:cstheme="minorHAnsi"/>
        </w:rPr>
        <w:t xml:space="preserve">DS </w:t>
      </w:r>
      <w:r w:rsidR="00D71E94">
        <w:rPr>
          <w:rFonts w:eastAsia="Times New Roman" w:cstheme="minorHAnsi"/>
        </w:rPr>
        <w:t>sector agencies should consider</w:t>
      </w:r>
      <w:r>
        <w:rPr>
          <w:rFonts w:eastAsia="Times New Roman" w:cstheme="minorHAnsi"/>
        </w:rPr>
        <w:t xml:space="preserve"> </w:t>
      </w:r>
      <w:r w:rsidR="00D71E94">
        <w:rPr>
          <w:rFonts w:eastAsia="Times New Roman" w:cstheme="minorHAnsi"/>
        </w:rPr>
        <w:t xml:space="preserve">their legal obligations and authority under </w:t>
      </w:r>
      <w:hyperlink r:id="rId12" w:history="1">
        <w:r w:rsidR="00D71E94" w:rsidRPr="00F566C4">
          <w:rPr>
            <w:rStyle w:val="Hyperlink"/>
            <w:rFonts w:eastAsia="Times New Roman" w:cstheme="minorHAnsi"/>
            <w:b/>
            <w:bCs/>
          </w:rPr>
          <w:t>O. Reg. 177/20</w:t>
        </w:r>
      </w:hyperlink>
      <w:r w:rsidR="00D71E94" w:rsidRPr="00DE7E80">
        <w:rPr>
          <w:rFonts w:eastAsia="Times New Roman" w:cstheme="minorHAnsi"/>
          <w:b/>
          <w:bCs/>
        </w:rPr>
        <w:t xml:space="preserve">: </w:t>
      </w:r>
      <w:r w:rsidR="00D71E94">
        <w:rPr>
          <w:rFonts w:eastAsia="Times New Roman" w:cstheme="minorHAnsi"/>
          <w:b/>
          <w:bCs/>
        </w:rPr>
        <w:t xml:space="preserve">Congregate Care Settings </w:t>
      </w:r>
      <w:r w:rsidR="00D71E94">
        <w:rPr>
          <w:rFonts w:eastAsia="Times New Roman" w:cstheme="minorHAnsi"/>
        </w:rPr>
        <w:t xml:space="preserve">and </w:t>
      </w:r>
      <w:hyperlink r:id="rId13" w:history="1">
        <w:r w:rsidR="00D71E94" w:rsidRPr="00F566C4">
          <w:rPr>
            <w:rStyle w:val="Hyperlink"/>
            <w:b/>
            <w:bCs/>
          </w:rPr>
          <w:t>O-Reg 121/20</w:t>
        </w:r>
      </w:hyperlink>
      <w:r w:rsidR="00D71E94">
        <w:rPr>
          <w:b/>
          <w:bCs/>
        </w:rPr>
        <w:t xml:space="preserve"> Service Agencies Providing Services and Supports to Adults with Developmental Disabilities and Service Providers Providing Intervenor Services, </w:t>
      </w:r>
      <w:r w:rsidR="00D71E94">
        <w:t xml:space="preserve">including the obligation to comply with public health guidance and the single employer rule. </w:t>
      </w:r>
    </w:p>
    <w:p w14:paraId="7FCD1A26" w14:textId="77777777" w:rsidR="00E47286" w:rsidRDefault="00E47286" w:rsidP="00D71E94">
      <w:pPr>
        <w:shd w:val="clear" w:color="auto" w:fill="FFFFFF"/>
        <w:spacing w:after="0" w:line="240" w:lineRule="auto"/>
        <w:rPr>
          <w:rFonts w:eastAsia="Times New Roman" w:cstheme="minorHAnsi"/>
        </w:rPr>
      </w:pPr>
    </w:p>
    <w:p w14:paraId="44190F21" w14:textId="49B9C31C" w:rsidR="00D71E94" w:rsidRDefault="00D71E94" w:rsidP="00D71E94">
      <w:pPr>
        <w:shd w:val="clear" w:color="auto" w:fill="FFFFFF"/>
        <w:spacing w:after="0" w:line="240" w:lineRule="auto"/>
        <w:rPr>
          <w:rFonts w:eastAsia="Times New Roman" w:cstheme="minorHAnsi"/>
        </w:rPr>
      </w:pPr>
      <w:r>
        <w:rPr>
          <w:rFonts w:eastAsia="Times New Roman" w:cstheme="minorHAnsi"/>
        </w:rPr>
        <w:t xml:space="preserve">The Risk Assessment Tool should </w:t>
      </w:r>
      <w:r w:rsidR="009748E1">
        <w:rPr>
          <w:rFonts w:eastAsia="Times New Roman" w:cstheme="minorHAnsi"/>
        </w:rPr>
        <w:t xml:space="preserve">also </w:t>
      </w:r>
      <w:r>
        <w:rPr>
          <w:rFonts w:eastAsia="Times New Roman" w:cstheme="minorHAnsi"/>
        </w:rPr>
        <w:t>be used in conjunction with the following</w:t>
      </w:r>
      <w:r w:rsidR="009748E1">
        <w:rPr>
          <w:rFonts w:eastAsia="Times New Roman" w:cstheme="minorHAnsi"/>
        </w:rPr>
        <w:t xml:space="preserve"> laws and </w:t>
      </w:r>
      <w:r w:rsidR="00F85AE2">
        <w:rPr>
          <w:rFonts w:eastAsia="Times New Roman" w:cstheme="minorHAnsi"/>
        </w:rPr>
        <w:t>guidelines</w:t>
      </w:r>
      <w:r>
        <w:rPr>
          <w:rFonts w:eastAsia="Times New Roman" w:cstheme="minorHAnsi"/>
        </w:rPr>
        <w:t>:</w:t>
      </w:r>
    </w:p>
    <w:p w14:paraId="6901769A" w14:textId="77777777" w:rsidR="009748E1" w:rsidRDefault="009748E1" w:rsidP="00D71E94">
      <w:pPr>
        <w:shd w:val="clear" w:color="auto" w:fill="FFFFFF"/>
        <w:spacing w:after="0" w:line="240" w:lineRule="auto"/>
        <w:rPr>
          <w:rFonts w:eastAsia="Times New Roman" w:cstheme="minorHAnsi"/>
        </w:rPr>
      </w:pPr>
    </w:p>
    <w:p w14:paraId="10662BF3" w14:textId="4103036D" w:rsidR="00D71E94" w:rsidRDefault="004E7B12" w:rsidP="00D71E94">
      <w:pPr>
        <w:pStyle w:val="ListParagraph"/>
        <w:numPr>
          <w:ilvl w:val="0"/>
          <w:numId w:val="25"/>
        </w:numPr>
        <w:shd w:val="clear" w:color="auto" w:fill="FFFFFF"/>
        <w:spacing w:after="0" w:line="240" w:lineRule="auto"/>
        <w:rPr>
          <w:rFonts w:eastAsia="Times New Roman" w:cstheme="minorHAnsi"/>
        </w:rPr>
      </w:pPr>
      <w:hyperlink r:id="rId14" w:history="1">
        <w:proofErr w:type="spellStart"/>
        <w:r w:rsidR="00D71E94" w:rsidRPr="00F566C4">
          <w:rPr>
            <w:rStyle w:val="Hyperlink"/>
            <w:rFonts w:eastAsia="Times New Roman" w:cstheme="minorHAnsi"/>
            <w:b/>
            <w:bCs/>
          </w:rPr>
          <w:t>O.Reg</w:t>
        </w:r>
        <w:proofErr w:type="spellEnd"/>
        <w:r w:rsidR="00D71E94" w:rsidRPr="00F566C4">
          <w:rPr>
            <w:rStyle w:val="Hyperlink"/>
            <w:rFonts w:eastAsia="Times New Roman" w:cstheme="minorHAnsi"/>
            <w:b/>
            <w:bCs/>
          </w:rPr>
          <w:t xml:space="preserve"> 299/10 Qualit</w:t>
        </w:r>
        <w:r w:rsidR="00EA5BAE">
          <w:rPr>
            <w:rStyle w:val="Hyperlink"/>
            <w:rFonts w:eastAsia="Times New Roman" w:cstheme="minorHAnsi"/>
            <w:b/>
            <w:bCs/>
          </w:rPr>
          <w:t>y</w:t>
        </w:r>
        <w:r w:rsidR="00D71E94" w:rsidRPr="00F566C4">
          <w:rPr>
            <w:rStyle w:val="Hyperlink"/>
            <w:rFonts w:eastAsia="Times New Roman" w:cstheme="minorHAnsi"/>
            <w:b/>
            <w:bCs/>
          </w:rPr>
          <w:t xml:space="preserve"> Assurance Measures</w:t>
        </w:r>
      </w:hyperlink>
      <w:r w:rsidR="009748E1">
        <w:rPr>
          <w:rStyle w:val="Hyperlink"/>
          <w:rFonts w:eastAsia="Times New Roman" w:cstheme="minorHAnsi"/>
          <w:u w:val="none"/>
        </w:rPr>
        <w:t xml:space="preserve"> </w:t>
      </w:r>
      <w:r w:rsidR="009748E1" w:rsidRPr="009748E1">
        <w:rPr>
          <w:rStyle w:val="Hyperlink"/>
          <w:rFonts w:eastAsia="Times New Roman" w:cstheme="minorHAnsi"/>
          <w:color w:val="auto"/>
          <w:u w:val="none"/>
        </w:rPr>
        <w:t xml:space="preserve">– in particular, </w:t>
      </w:r>
      <w:r w:rsidR="00E47286">
        <w:rPr>
          <w:rFonts w:eastAsia="Times New Roman" w:cstheme="minorHAnsi"/>
        </w:rPr>
        <w:t>balancing</w:t>
      </w:r>
      <w:r w:rsidR="008D29E1">
        <w:rPr>
          <w:rFonts w:eastAsia="Times New Roman" w:cstheme="minorHAnsi"/>
        </w:rPr>
        <w:t xml:space="preserve"> obligations under</w:t>
      </w:r>
      <w:r w:rsidR="00E47286">
        <w:rPr>
          <w:rFonts w:eastAsia="Times New Roman" w:cstheme="minorHAnsi"/>
        </w:rPr>
        <w:t xml:space="preserve"> section 4 to</w:t>
      </w:r>
      <w:r w:rsidR="00E47286" w:rsidRPr="00284C68">
        <w:rPr>
          <w:rFonts w:eastAsia="Times New Roman" w:cstheme="minorHAnsi"/>
        </w:rPr>
        <w:t xml:space="preserve"> promote social inclusion, individual choice, independence and right</w:t>
      </w:r>
      <w:r w:rsidR="00E47286">
        <w:rPr>
          <w:rFonts w:eastAsia="Times New Roman" w:cstheme="minorHAnsi"/>
        </w:rPr>
        <w:t>s, s</w:t>
      </w:r>
      <w:r w:rsidR="00E47286" w:rsidRPr="005A5023">
        <w:rPr>
          <w:rFonts w:eastAsia="Times New Roman" w:cstheme="minorHAnsi"/>
        </w:rPr>
        <w:t xml:space="preserve">ection 7(1) </w:t>
      </w:r>
      <w:r w:rsidR="00E47286">
        <w:rPr>
          <w:rFonts w:eastAsia="Times New Roman" w:cstheme="minorHAnsi"/>
        </w:rPr>
        <w:t xml:space="preserve">to </w:t>
      </w:r>
      <w:r w:rsidR="00E47286" w:rsidRPr="005A5023">
        <w:rPr>
          <w:rFonts w:eastAsia="Times New Roman" w:cstheme="minorHAnsi"/>
        </w:rPr>
        <w:t>develop policies and procedures with respect to “health promotion, medical services and medication”</w:t>
      </w:r>
      <w:r w:rsidR="00E47286">
        <w:rPr>
          <w:rFonts w:eastAsia="Times New Roman" w:cstheme="minorHAnsi"/>
        </w:rPr>
        <w:t xml:space="preserve"> and section 12(1)(a) to develop policies and procedures that protect the personal safet</w:t>
      </w:r>
      <w:r w:rsidR="008D29E1">
        <w:rPr>
          <w:rFonts w:eastAsia="Times New Roman" w:cstheme="minorHAnsi"/>
        </w:rPr>
        <w:t>y.</w:t>
      </w:r>
    </w:p>
    <w:p w14:paraId="4EB26AA3" w14:textId="77777777" w:rsidR="009748E1" w:rsidRPr="009748E1" w:rsidRDefault="009748E1" w:rsidP="009748E1">
      <w:pPr>
        <w:shd w:val="clear" w:color="auto" w:fill="FFFFFF"/>
        <w:spacing w:after="0" w:line="240" w:lineRule="auto"/>
        <w:ind w:left="360"/>
        <w:rPr>
          <w:rFonts w:eastAsia="Times New Roman" w:cstheme="minorHAnsi"/>
        </w:rPr>
      </w:pPr>
    </w:p>
    <w:p w14:paraId="3AB0D448" w14:textId="2377F07D" w:rsidR="00D71E94" w:rsidRPr="009748E1" w:rsidRDefault="004E7B12" w:rsidP="00D71E94">
      <w:pPr>
        <w:pStyle w:val="ListParagraph"/>
        <w:numPr>
          <w:ilvl w:val="0"/>
          <w:numId w:val="25"/>
        </w:numPr>
        <w:shd w:val="clear" w:color="auto" w:fill="FFFFFF"/>
        <w:spacing w:after="0" w:line="240" w:lineRule="auto"/>
        <w:rPr>
          <w:rFonts w:eastAsia="Times New Roman" w:cstheme="minorHAnsi"/>
        </w:rPr>
      </w:pPr>
      <w:hyperlink r:id="rId15" w:history="1">
        <w:r w:rsidR="00D71E94" w:rsidRPr="00F566C4">
          <w:rPr>
            <w:rStyle w:val="Hyperlink"/>
            <w:rFonts w:eastAsia="Times New Roman" w:cstheme="minorHAnsi"/>
            <w:b/>
            <w:bCs/>
          </w:rPr>
          <w:t>Occupational Health and Safety Act</w:t>
        </w:r>
      </w:hyperlink>
      <w:r w:rsidR="008D29E1">
        <w:rPr>
          <w:rStyle w:val="FootnoteReference"/>
          <w:rFonts w:eastAsia="Times New Roman" w:cstheme="minorHAnsi"/>
          <w:b/>
          <w:bCs/>
        </w:rPr>
        <w:footnoteReference w:id="5"/>
      </w:r>
      <w:r w:rsidR="008D29E1">
        <w:rPr>
          <w:rFonts w:eastAsia="Times New Roman" w:cstheme="minorHAnsi"/>
          <w:b/>
          <w:bCs/>
        </w:rPr>
        <w:t xml:space="preserve"> </w:t>
      </w:r>
      <w:r w:rsidR="009748E1">
        <w:t xml:space="preserve">– in particular, </w:t>
      </w:r>
      <w:r w:rsidR="008D29E1">
        <w:t xml:space="preserve">section 25(2)(h) imposing a general obligation on employers to take all reasonable precautions to make a workplace healthy and safe. </w:t>
      </w:r>
      <w:r w:rsidR="009748E1">
        <w:t>DS Sector a</w:t>
      </w:r>
      <w:r w:rsidR="008D29E1">
        <w:t xml:space="preserve">gencies </w:t>
      </w:r>
      <w:r w:rsidR="00F85AE2">
        <w:t xml:space="preserve">should also </w:t>
      </w:r>
      <w:r w:rsidR="008D29E1">
        <w:t>be mindful of a worker’s right to refu</w:t>
      </w:r>
      <w:r w:rsidR="009748E1">
        <w:t>s</w:t>
      </w:r>
      <w:r w:rsidR="008D29E1">
        <w:t>e work if they believe it is dangerous to their health and/or safety.</w:t>
      </w:r>
    </w:p>
    <w:p w14:paraId="5A25DF12" w14:textId="77777777" w:rsidR="009748E1" w:rsidRPr="009748E1" w:rsidRDefault="009748E1" w:rsidP="009748E1">
      <w:pPr>
        <w:pStyle w:val="ListParagraph"/>
        <w:rPr>
          <w:rFonts w:eastAsia="Times New Roman" w:cstheme="minorHAnsi"/>
        </w:rPr>
      </w:pPr>
    </w:p>
    <w:p w14:paraId="2CCCA12E" w14:textId="04B09053" w:rsidR="00D71E94" w:rsidRPr="009748E1" w:rsidRDefault="004E7B12" w:rsidP="00D71E94">
      <w:pPr>
        <w:pStyle w:val="ListParagraph"/>
        <w:numPr>
          <w:ilvl w:val="0"/>
          <w:numId w:val="25"/>
        </w:numPr>
        <w:shd w:val="clear" w:color="auto" w:fill="FFFFFF"/>
        <w:spacing w:after="0" w:line="240" w:lineRule="auto"/>
        <w:rPr>
          <w:rFonts w:eastAsia="Times New Roman" w:cstheme="minorHAnsi"/>
        </w:rPr>
      </w:pPr>
      <w:hyperlink r:id="rId16" w:history="1">
        <w:r w:rsidR="00D71E94">
          <w:rPr>
            <w:rStyle w:val="Hyperlink"/>
            <w:b/>
            <w:bCs/>
          </w:rPr>
          <w:t>Ontario Public Health COVID-19 Preparedness and Prevention in Congregate Living Settings</w:t>
        </w:r>
      </w:hyperlink>
      <w:r w:rsidR="008D29E1">
        <w:t xml:space="preserve"> </w:t>
      </w:r>
      <w:r w:rsidR="009748E1">
        <w:t xml:space="preserve">- </w:t>
      </w:r>
      <w:r w:rsidR="008D29E1">
        <w:t xml:space="preserve">outlines infection prevention and outbreak management steps that can be implemented in congregate care settings related to cleaning, masking and other </w:t>
      </w:r>
      <w:r w:rsidR="009748E1">
        <w:t>p</w:t>
      </w:r>
      <w:r w:rsidR="008D29E1">
        <w:t xml:space="preserve">ersonal </w:t>
      </w:r>
      <w:r w:rsidR="009748E1">
        <w:t>p</w:t>
      </w:r>
      <w:r w:rsidR="008D29E1">
        <w:t>rotect</w:t>
      </w:r>
      <w:r w:rsidR="009748E1">
        <w:t>ive</w:t>
      </w:r>
      <w:r w:rsidR="008D29E1">
        <w:t xml:space="preserve"> </w:t>
      </w:r>
      <w:r w:rsidR="009748E1">
        <w:t>e</w:t>
      </w:r>
      <w:r w:rsidR="008D29E1">
        <w:t>quipment, masking and face coverings, safety planning and communication strategies.</w:t>
      </w:r>
    </w:p>
    <w:p w14:paraId="2344BADE" w14:textId="77777777" w:rsidR="009748E1" w:rsidRPr="009748E1" w:rsidRDefault="009748E1" w:rsidP="009748E1">
      <w:pPr>
        <w:pStyle w:val="ListParagraph"/>
        <w:rPr>
          <w:rFonts w:eastAsia="Times New Roman" w:cstheme="minorHAnsi"/>
        </w:rPr>
      </w:pPr>
    </w:p>
    <w:p w14:paraId="41501F14" w14:textId="14591FA7" w:rsidR="00D71E94" w:rsidRPr="004C7E4F" w:rsidRDefault="004E7B12" w:rsidP="00D71E94">
      <w:pPr>
        <w:pStyle w:val="ListParagraph"/>
        <w:numPr>
          <w:ilvl w:val="0"/>
          <w:numId w:val="25"/>
        </w:numPr>
        <w:shd w:val="clear" w:color="auto" w:fill="FFFFFF"/>
        <w:spacing w:after="0" w:line="240" w:lineRule="auto"/>
        <w:rPr>
          <w:rFonts w:eastAsia="Times New Roman" w:cstheme="minorHAnsi"/>
        </w:rPr>
      </w:pPr>
      <w:hyperlink r:id="rId17" w:history="1">
        <w:r w:rsidR="00D71E94">
          <w:rPr>
            <w:rStyle w:val="Hyperlink"/>
            <w:b/>
            <w:bCs/>
          </w:rPr>
          <w:t>Congregate Care Setting Public Health Guidance</w:t>
        </w:r>
      </w:hyperlink>
      <w:r w:rsidR="00C93A93">
        <w:rPr>
          <w:b/>
          <w:bCs/>
        </w:rPr>
        <w:t xml:space="preserve"> </w:t>
      </w:r>
      <w:r w:rsidR="009748E1">
        <w:rPr>
          <w:b/>
          <w:bCs/>
        </w:rPr>
        <w:t xml:space="preserve">- </w:t>
      </w:r>
      <w:r w:rsidR="00C93A93" w:rsidRPr="00C93A93">
        <w:t>M</w:t>
      </w:r>
      <w:r w:rsidR="00C93A93">
        <w:t xml:space="preserve">inistry of Health </w:t>
      </w:r>
      <w:r w:rsidR="009748E1">
        <w:t xml:space="preserve">and Long-term Care </w:t>
      </w:r>
      <w:r w:rsidR="00C93A93" w:rsidRPr="00C93A93">
        <w:t xml:space="preserve">guidance </w:t>
      </w:r>
      <w:r w:rsidR="009748E1">
        <w:t xml:space="preserve">with </w:t>
      </w:r>
      <w:r w:rsidR="00C93A93" w:rsidRPr="00C93A93">
        <w:t xml:space="preserve">which DS </w:t>
      </w:r>
      <w:r w:rsidR="00F566C4">
        <w:t xml:space="preserve">sector </w:t>
      </w:r>
      <w:r w:rsidR="00C93A93" w:rsidRPr="00C93A93">
        <w:t xml:space="preserve">agencies </w:t>
      </w:r>
      <w:r w:rsidR="009748E1">
        <w:t>are legally obligated to comply</w:t>
      </w:r>
      <w:r w:rsidR="00C93A93" w:rsidRPr="00C93A93">
        <w:t>.</w:t>
      </w:r>
      <w:r w:rsidR="00C93A93">
        <w:t xml:space="preserve"> The guidance outlines public health measures that </w:t>
      </w:r>
      <w:r w:rsidR="00A93F98">
        <w:t xml:space="preserve">DS sector </w:t>
      </w:r>
      <w:r w:rsidR="00C93A93">
        <w:t>agencies should be taking with respect to planning and training on COVID-19 safety precautions</w:t>
      </w:r>
      <w:r w:rsidR="00A93F98">
        <w:t xml:space="preserve"> and</w:t>
      </w:r>
      <w:r w:rsidR="00C93A93">
        <w:t xml:space="preserve"> preventing COVID-19 transition</w:t>
      </w:r>
      <w:r w:rsidR="00A93F98">
        <w:t>.</w:t>
      </w:r>
    </w:p>
    <w:p w14:paraId="7F7FC944" w14:textId="77777777" w:rsidR="009748E1" w:rsidRPr="009748E1" w:rsidRDefault="009748E1" w:rsidP="009748E1">
      <w:pPr>
        <w:pStyle w:val="ListParagraph"/>
        <w:shd w:val="clear" w:color="auto" w:fill="FFFFFF"/>
        <w:spacing w:after="0" w:line="240" w:lineRule="auto"/>
        <w:rPr>
          <w:rFonts w:eastAsia="Times New Roman" w:cstheme="minorHAnsi"/>
        </w:rPr>
      </w:pPr>
    </w:p>
    <w:p w14:paraId="39C5130A" w14:textId="4EB48C48" w:rsidR="00D71E94" w:rsidRPr="00D71E94" w:rsidRDefault="00A93F98" w:rsidP="00D71E94">
      <w:pPr>
        <w:pStyle w:val="ListParagraph"/>
        <w:numPr>
          <w:ilvl w:val="0"/>
          <w:numId w:val="25"/>
        </w:numPr>
        <w:shd w:val="clear" w:color="auto" w:fill="FFFFFF"/>
        <w:spacing w:after="0" w:line="240" w:lineRule="auto"/>
        <w:rPr>
          <w:rFonts w:eastAsia="Times New Roman" w:cstheme="minorHAnsi"/>
        </w:rPr>
      </w:pPr>
      <w:r w:rsidRPr="00A93F98">
        <w:rPr>
          <w:rStyle w:val="Hyperlink"/>
          <w:b/>
          <w:bCs/>
        </w:rPr>
        <w:t>Ministry of Children, Community &amp; Social Services (“</w:t>
      </w:r>
      <w:hyperlink r:id="rId18" w:history="1">
        <w:r w:rsidR="00D71E94">
          <w:rPr>
            <w:rStyle w:val="Hyperlink"/>
            <w:b/>
            <w:bCs/>
          </w:rPr>
          <w:t>MCCSS</w:t>
        </w:r>
        <w:r>
          <w:rPr>
            <w:rStyle w:val="Hyperlink"/>
            <w:b/>
            <w:bCs/>
          </w:rPr>
          <w:t>”)</w:t>
        </w:r>
        <w:r w:rsidR="00D71E94">
          <w:rPr>
            <w:rStyle w:val="Hyperlink"/>
            <w:b/>
            <w:bCs/>
          </w:rPr>
          <w:t xml:space="preserve"> Interim Direction in Congregate Care Settings</w:t>
        </w:r>
      </w:hyperlink>
      <w:r w:rsidR="00081B82">
        <w:t xml:space="preserve"> </w:t>
      </w:r>
      <w:r>
        <w:t xml:space="preserve">- </w:t>
      </w:r>
      <w:r w:rsidR="00081B82">
        <w:t>applies to people supported</w:t>
      </w:r>
      <w:r w:rsidR="00237D12">
        <w:t xml:space="preserve"> in</w:t>
      </w:r>
      <w:r w:rsidR="00081B82">
        <w:t xml:space="preserve"> congregate care settings relating to limitations on visits (inside and outside)</w:t>
      </w:r>
      <w:r w:rsidR="00237D12">
        <w:t xml:space="preserve"> and short stays and absences. The Direction sets out a clear expectation that people supported </w:t>
      </w:r>
      <w:r>
        <w:t xml:space="preserve">remain at home </w:t>
      </w:r>
      <w:r w:rsidR="00237D12">
        <w:t xml:space="preserve">and outlines “enhanced precautions” for people supported </w:t>
      </w:r>
      <w:r>
        <w:t xml:space="preserve">when </w:t>
      </w:r>
      <w:r w:rsidR="00237D12">
        <w:t>return</w:t>
      </w:r>
      <w:r>
        <w:t>ing from visits</w:t>
      </w:r>
      <w:r w:rsidR="00237D12">
        <w:t xml:space="preserve"> (i.e. isolation/limited contact, screening, symptom monitoring, hand washing etc.</w:t>
      </w:r>
      <w:r>
        <w:t>).</w:t>
      </w:r>
    </w:p>
    <w:p w14:paraId="5294EE18" w14:textId="77777777" w:rsidR="00A93F98" w:rsidRPr="00A93F98" w:rsidRDefault="00A93F98" w:rsidP="00A93F98">
      <w:pPr>
        <w:pStyle w:val="ListParagraph"/>
        <w:shd w:val="clear" w:color="auto" w:fill="FFFFFF"/>
        <w:spacing w:after="0" w:line="240" w:lineRule="auto"/>
        <w:rPr>
          <w:rFonts w:eastAsia="Times New Roman" w:cstheme="minorHAnsi"/>
        </w:rPr>
      </w:pPr>
    </w:p>
    <w:p w14:paraId="58783921" w14:textId="00852DCC" w:rsidR="00D71E94" w:rsidRPr="00D71E94" w:rsidRDefault="00D71E94" w:rsidP="00D71E94">
      <w:pPr>
        <w:pStyle w:val="ListParagraph"/>
        <w:numPr>
          <w:ilvl w:val="0"/>
          <w:numId w:val="25"/>
        </w:numPr>
        <w:shd w:val="clear" w:color="auto" w:fill="FFFFFF"/>
        <w:spacing w:after="0" w:line="240" w:lineRule="auto"/>
        <w:rPr>
          <w:rFonts w:eastAsia="Times New Roman" w:cstheme="minorHAnsi"/>
        </w:rPr>
      </w:pPr>
      <w:r w:rsidRPr="00D71E94">
        <w:rPr>
          <w:b/>
          <w:bCs/>
        </w:rPr>
        <w:t>MCCSS COVID-19 related memos to DS sector agencies</w:t>
      </w:r>
      <w:r w:rsidR="00237D12">
        <w:rPr>
          <w:b/>
          <w:bCs/>
        </w:rPr>
        <w:t xml:space="preserve"> </w:t>
      </w:r>
      <w:r w:rsidR="00A93F98">
        <w:rPr>
          <w:b/>
          <w:bCs/>
        </w:rPr>
        <w:t xml:space="preserve">- </w:t>
      </w:r>
      <w:r w:rsidR="00237D12">
        <w:t xml:space="preserve">received by </w:t>
      </w:r>
      <w:r w:rsidR="00A93F98">
        <w:t xml:space="preserve">DS Sector </w:t>
      </w:r>
      <w:r w:rsidR="00237D12">
        <w:t xml:space="preserve">agencies </w:t>
      </w:r>
      <w:r w:rsidR="00A93F98">
        <w:t xml:space="preserve">in relation to </w:t>
      </w:r>
      <w:r w:rsidR="00237D12">
        <w:t>COVID-1</w:t>
      </w:r>
      <w:r w:rsidR="00A93F98">
        <w:t>9</w:t>
      </w:r>
      <w:r w:rsidR="00237D12">
        <w:t xml:space="preserve"> measures and policy development specific to the sector. </w:t>
      </w:r>
    </w:p>
    <w:p w14:paraId="23EB3EB4" w14:textId="77777777" w:rsidR="00D71E94" w:rsidRPr="00107921" w:rsidRDefault="00D71E94" w:rsidP="00107921">
      <w:pPr>
        <w:shd w:val="clear" w:color="auto" w:fill="FFFFFF"/>
        <w:spacing w:before="100" w:beforeAutospacing="1" w:after="100" w:afterAutospacing="1" w:line="240" w:lineRule="auto"/>
        <w:jc w:val="center"/>
        <w:rPr>
          <w:sz w:val="16"/>
          <w:szCs w:val="16"/>
        </w:rPr>
      </w:pPr>
    </w:p>
    <w:sectPr w:rsidR="00D71E94" w:rsidRPr="00107921" w:rsidSect="009D7EA7">
      <w:headerReference w:type="default" r:id="rId19"/>
      <w:footerReference w:type="even" r:id="rId20"/>
      <w:footerReference w:type="default" r:id="rId21"/>
      <w:footerReference w:type="first" r:id="rId22"/>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AB2DD" w14:textId="77777777" w:rsidR="004E7B12" w:rsidRDefault="004E7B12" w:rsidP="00F82B0F">
      <w:pPr>
        <w:spacing w:after="0" w:line="240" w:lineRule="auto"/>
      </w:pPr>
      <w:r>
        <w:separator/>
      </w:r>
    </w:p>
  </w:endnote>
  <w:endnote w:type="continuationSeparator" w:id="0">
    <w:p w14:paraId="24F3C942" w14:textId="77777777" w:rsidR="004E7B12" w:rsidRDefault="004E7B12" w:rsidP="00F8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9170991"/>
      <w:docPartObj>
        <w:docPartGallery w:val="Page Numbers (Bottom of Page)"/>
        <w:docPartUnique/>
      </w:docPartObj>
    </w:sdtPr>
    <w:sdtEndPr>
      <w:rPr>
        <w:rStyle w:val="PageNumber"/>
      </w:rPr>
    </w:sdtEndPr>
    <w:sdtContent>
      <w:p w14:paraId="0A39DC93" w14:textId="02476BA5" w:rsidR="00107921" w:rsidRDefault="00107921" w:rsidP="00107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8E46AB" w14:textId="77777777" w:rsidR="00107921" w:rsidRDefault="00107921" w:rsidP="001079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6977051"/>
      <w:docPartObj>
        <w:docPartGallery w:val="Page Numbers (Bottom of Page)"/>
        <w:docPartUnique/>
      </w:docPartObj>
    </w:sdtPr>
    <w:sdtEndPr>
      <w:rPr>
        <w:rStyle w:val="PageNumber"/>
      </w:rPr>
    </w:sdtEndPr>
    <w:sdtContent>
      <w:p w14:paraId="3836C982" w14:textId="101CA2B7" w:rsidR="00107921" w:rsidRDefault="00107921" w:rsidP="00FA70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737C">
          <w:rPr>
            <w:rStyle w:val="PageNumber"/>
            <w:noProof/>
          </w:rPr>
          <w:t>1</w:t>
        </w:r>
        <w:r>
          <w:rPr>
            <w:rStyle w:val="PageNumber"/>
          </w:rPr>
          <w:fldChar w:fldCharType="end"/>
        </w:r>
      </w:p>
    </w:sdtContent>
  </w:sdt>
  <w:p w14:paraId="3301C747" w14:textId="3C1C392F" w:rsidR="00107921" w:rsidRDefault="00107921" w:rsidP="00907880">
    <w:pPr>
      <w:pStyle w:val="Footer"/>
      <w:pBdr>
        <w:top w:val="single" w:sz="4" w:space="1" w:color="auto"/>
      </w:pBdr>
    </w:pPr>
    <w:r>
      <w:t>Hamilton DSSC 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EA83" w14:textId="7F55B901" w:rsidR="009D7EA7" w:rsidRDefault="009D7EA7" w:rsidP="00322635">
    <w:pPr>
      <w:pStyle w:val="Footer"/>
      <w:jc w:val="center"/>
    </w:pPr>
    <w:r>
      <w:rPr>
        <w:noProof/>
      </w:rPr>
      <mc:AlternateContent>
        <mc:Choice Requires="wpg">
          <w:drawing>
            <wp:anchor distT="0" distB="0" distL="114300" distR="114300" simplePos="0" relativeHeight="251658240" behindDoc="1" locked="0" layoutInCell="1" allowOverlap="1" wp14:anchorId="41D9F7F8" wp14:editId="17288C58">
              <wp:simplePos x="0" y="0"/>
              <wp:positionH relativeFrom="margin">
                <wp:align>center</wp:align>
              </wp:positionH>
              <wp:positionV relativeFrom="margin">
                <wp:align>bottom</wp:align>
              </wp:positionV>
              <wp:extent cx="5944235" cy="93345"/>
              <wp:effectExtent l="0" t="0" r="0" b="400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93345"/>
                        <a:chOff x="1440" y="14611"/>
                        <a:chExt cx="9361" cy="117"/>
                      </a:xfrm>
                    </wpg:grpSpPr>
                    <wps:wsp>
                      <wps:cNvPr id="6" name="Rectangle 2"/>
                      <wps:cNvSpPr>
                        <a:spLocks noChangeArrowheads="1"/>
                      </wps:cNvSpPr>
                      <wps:spPr bwMode="auto">
                        <a:xfrm>
                          <a:off x="6012" y="14611"/>
                          <a:ext cx="115" cy="116"/>
                        </a:xfrm>
                        <a:prstGeom prst="rect">
                          <a:avLst/>
                        </a:prstGeom>
                        <a:solidFill>
                          <a:srgbClr val="0396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
                      <wps:cNvCnPr>
                        <a:cxnSpLocks noChangeShapeType="1"/>
                      </wps:cNvCnPr>
                      <wps:spPr bwMode="auto">
                        <a:xfrm>
                          <a:off x="1498" y="14611"/>
                          <a:ext cx="0" cy="115"/>
                        </a:xfrm>
                        <a:prstGeom prst="line">
                          <a:avLst/>
                        </a:prstGeom>
                        <a:noFill/>
                        <a:ln w="73025">
                          <a:solidFill>
                            <a:srgbClr val="03969E"/>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555" y="14669"/>
                          <a:ext cx="4457" cy="0"/>
                        </a:xfrm>
                        <a:prstGeom prst="line">
                          <a:avLst/>
                        </a:prstGeom>
                        <a:noFill/>
                        <a:ln w="73152">
                          <a:solidFill>
                            <a:srgbClr val="03969E"/>
                          </a:solidFill>
                          <a:prstDash val="solid"/>
                          <a:round/>
                          <a:headEnd/>
                          <a:tailEnd/>
                        </a:ln>
                        <a:extLst>
                          <a:ext uri="{909E8E84-426E-40DD-AFC4-6F175D3DCCD1}">
                            <a14:hiddenFill xmlns:a14="http://schemas.microsoft.com/office/drawing/2010/main">
                              <a:noFill/>
                            </a14:hiddenFill>
                          </a:ext>
                        </a:extLst>
                      </wps:spPr>
                      <wps:bodyPr/>
                    </wps:wsp>
                    <wps:wsp>
                      <wps:cNvPr id="9" name="Rectangle 5"/>
                      <wps:cNvSpPr>
                        <a:spLocks noChangeArrowheads="1"/>
                      </wps:cNvSpPr>
                      <wps:spPr bwMode="auto">
                        <a:xfrm>
                          <a:off x="6129" y="14612"/>
                          <a:ext cx="111" cy="115"/>
                        </a:xfrm>
                        <a:prstGeom prst="rect">
                          <a:avLst/>
                        </a:prstGeom>
                        <a:solidFill>
                          <a:srgbClr val="0396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
                      <wps:cNvCnPr>
                        <a:cxnSpLocks noChangeShapeType="1"/>
                      </wps:cNvCnPr>
                      <wps:spPr bwMode="auto">
                        <a:xfrm>
                          <a:off x="10743" y="14614"/>
                          <a:ext cx="0" cy="112"/>
                        </a:xfrm>
                        <a:prstGeom prst="line">
                          <a:avLst/>
                        </a:prstGeom>
                        <a:noFill/>
                        <a:ln w="73025">
                          <a:solidFill>
                            <a:srgbClr val="03969E"/>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6240" y="14669"/>
                          <a:ext cx="4445" cy="0"/>
                        </a:xfrm>
                        <a:prstGeom prst="line">
                          <a:avLst/>
                        </a:prstGeom>
                        <a:noFill/>
                        <a:ln w="73152">
                          <a:solidFill>
                            <a:srgbClr val="03969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D9AD21" id="Group 5" o:spid="_x0000_s1026" style="position:absolute;margin-left:0;margin-top:0;width:468.05pt;height:7.35pt;z-index:-251658240;mso-position-horizontal:center;mso-position-horizontal-relative:margin;mso-position-vertical:bottom;mso-position-vertical-relative:margin" coordorigin="1440,14611" coordsize="936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">
              <v:rect id="Rectangle 2" o:spid="_x0000_s1027" style="position:absolute;left:6012;top:14611;width:115;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" fillcolor="#03969e" stroked="f"/>
              <v:line id="Line 3" o:spid="_x0000_s1028" style="position:absolute;visibility:visible;mso-wrap-style:square" from="1498,14611" to="1498,1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" strokecolor="#03969e" strokeweight="5.75pt"/>
              <v:line id="Line 4" o:spid="_x0000_s1029" style="position:absolute;visibility:visible;mso-wrap-style:square" from="1555,14669" to="6012,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" strokecolor="#03969e" strokeweight="5.76pt"/>
              <v:rect id="Rectangle 5" o:spid="_x0000_s1030" style="position:absolute;left:6129;top:14612;width:11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" fillcolor="#03969e" stroked="f"/>
              <v:line id="Line 6" o:spid="_x0000_s1031" style="position:absolute;visibility:visible;mso-wrap-style:square" from="10743,14614" to="10743,1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" strokecolor="#03969e" strokeweight="5.75pt"/>
              <v:line id="Line 7" o:spid="_x0000_s1032" style="position:absolute;visibility:visible;mso-wrap-style:square" from="6240,14669" to="10685,1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" strokecolor="#03969e" strokeweight="5.76pt"/>
              <w10:wrap anchorx="margin" anchory="margin"/>
            </v:group>
          </w:pict>
        </mc:Fallback>
      </mc:AlternateContent>
    </w:r>
    <w:r w:rsidR="00322635">
      <w:t>SPPI Pandemic Plan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A7754" w14:textId="77777777" w:rsidR="004E7B12" w:rsidRDefault="004E7B12" w:rsidP="00F82B0F">
      <w:pPr>
        <w:spacing w:after="0" w:line="240" w:lineRule="auto"/>
      </w:pPr>
      <w:r>
        <w:separator/>
      </w:r>
    </w:p>
  </w:footnote>
  <w:footnote w:type="continuationSeparator" w:id="0">
    <w:p w14:paraId="26968F98" w14:textId="77777777" w:rsidR="004E7B12" w:rsidRDefault="004E7B12" w:rsidP="00F82B0F">
      <w:pPr>
        <w:spacing w:after="0" w:line="240" w:lineRule="auto"/>
      </w:pPr>
      <w:r>
        <w:continuationSeparator/>
      </w:r>
    </w:p>
  </w:footnote>
  <w:footnote w:id="1">
    <w:p w14:paraId="0F695218" w14:textId="4D11C29D" w:rsidR="00D71E94" w:rsidRPr="00F566C4" w:rsidRDefault="00D71E94" w:rsidP="00D71E94">
      <w:pPr>
        <w:pStyle w:val="FootnoteText"/>
        <w:rPr>
          <w:b/>
          <w:bCs/>
          <w:lang w:val="en-CA"/>
        </w:rPr>
      </w:pPr>
      <w:r>
        <w:rPr>
          <w:rStyle w:val="FootnoteReference"/>
        </w:rPr>
        <w:footnoteRef/>
      </w:r>
      <w:r>
        <w:t xml:space="preserve"> </w:t>
      </w:r>
      <w:hyperlink r:id="rId1" w:history="1">
        <w:r w:rsidRPr="00F566C4">
          <w:rPr>
            <w:rStyle w:val="Hyperlink"/>
            <w:lang w:val="en-CA"/>
          </w:rPr>
          <w:t>O. Reg. 363/20</w:t>
        </w:r>
      </w:hyperlink>
      <w:r w:rsidRPr="00F566C4">
        <w:rPr>
          <w:lang w:val="en-CA"/>
        </w:rPr>
        <w:t xml:space="preserve">: </w:t>
      </w:r>
      <w:r>
        <w:rPr>
          <w:lang w:val="en-CA"/>
        </w:rPr>
        <w:t>Stages of Reopening.</w:t>
      </w:r>
    </w:p>
  </w:footnote>
  <w:footnote w:id="2">
    <w:p w14:paraId="567F2E52" w14:textId="798AD785" w:rsidR="00D71E94" w:rsidRPr="005A5023" w:rsidRDefault="00D71E94" w:rsidP="00D71E94">
      <w:pPr>
        <w:pStyle w:val="FootnoteText"/>
        <w:rPr>
          <w:lang w:val="en-CA"/>
        </w:rPr>
      </w:pPr>
      <w:r w:rsidRPr="002E7B13">
        <w:rPr>
          <w:rStyle w:val="FootnoteReference"/>
        </w:rPr>
        <w:footnoteRef/>
      </w:r>
      <w:r w:rsidRPr="002E7B13">
        <w:t xml:space="preserve"> </w:t>
      </w:r>
      <w:hyperlink r:id="rId2" w:history="1">
        <w:r w:rsidRPr="00F566C4">
          <w:rPr>
            <w:rStyle w:val="Hyperlink"/>
            <w:lang w:val="en-CA"/>
          </w:rPr>
          <w:t>O. Reg. 82/20:</w:t>
        </w:r>
      </w:hyperlink>
      <w:r w:rsidRPr="005A5023">
        <w:rPr>
          <w:lang w:val="en-CA"/>
        </w:rPr>
        <w:t xml:space="preserve"> R</w:t>
      </w:r>
      <w:r>
        <w:rPr>
          <w:lang w:val="en-CA"/>
        </w:rPr>
        <w:t>ules for Areas in Stage 1.</w:t>
      </w:r>
    </w:p>
  </w:footnote>
  <w:footnote w:id="3">
    <w:p w14:paraId="6820E431" w14:textId="1365BE6A" w:rsidR="00D71E94" w:rsidRPr="005A5023" w:rsidRDefault="00D71E94" w:rsidP="00D71E94">
      <w:pPr>
        <w:rPr>
          <w:rFonts w:cstheme="minorHAnsi"/>
          <w:sz w:val="20"/>
          <w:szCs w:val="20"/>
        </w:rPr>
      </w:pPr>
      <w:r w:rsidRPr="005A5023">
        <w:rPr>
          <w:rStyle w:val="FootnoteReference"/>
          <w:rFonts w:cstheme="minorHAnsi"/>
          <w:sz w:val="20"/>
          <w:szCs w:val="20"/>
        </w:rPr>
        <w:footnoteRef/>
      </w:r>
      <w:r w:rsidRPr="005A5023">
        <w:rPr>
          <w:rFonts w:cstheme="minorHAnsi"/>
          <w:sz w:val="20"/>
          <w:szCs w:val="20"/>
        </w:rPr>
        <w:t xml:space="preserve"> </w:t>
      </w:r>
      <w:hyperlink r:id="rId3" w:history="1">
        <w:r w:rsidRPr="00F566C4">
          <w:rPr>
            <w:rStyle w:val="Hyperlink"/>
            <w:rFonts w:cstheme="minorHAnsi"/>
            <w:sz w:val="20"/>
            <w:szCs w:val="20"/>
          </w:rPr>
          <w:t>O. Reg. 263/20:</w:t>
        </w:r>
      </w:hyperlink>
      <w:r w:rsidRPr="005A5023">
        <w:rPr>
          <w:rFonts w:cstheme="minorHAnsi"/>
          <w:sz w:val="20"/>
          <w:szCs w:val="20"/>
        </w:rPr>
        <w:t xml:space="preserve"> Rules for Areas in Stage 2. </w:t>
      </w:r>
    </w:p>
  </w:footnote>
  <w:footnote w:id="4">
    <w:p w14:paraId="50DF14ED" w14:textId="463B3065" w:rsidR="00D71E94" w:rsidRPr="005A5023" w:rsidRDefault="00D71E94" w:rsidP="00D71E94">
      <w:pPr>
        <w:pStyle w:val="FootnoteText"/>
        <w:rPr>
          <w:rFonts w:cstheme="minorHAnsi"/>
        </w:rPr>
      </w:pPr>
      <w:r w:rsidRPr="005A5023">
        <w:rPr>
          <w:rStyle w:val="FootnoteReference"/>
          <w:rFonts w:cstheme="minorHAnsi"/>
        </w:rPr>
        <w:footnoteRef/>
      </w:r>
      <w:r w:rsidRPr="005A5023">
        <w:rPr>
          <w:rFonts w:cstheme="minorHAnsi"/>
        </w:rPr>
        <w:t xml:space="preserve"> </w:t>
      </w:r>
      <w:hyperlink r:id="rId4" w:history="1">
        <w:r w:rsidRPr="00F566C4">
          <w:rPr>
            <w:rStyle w:val="Hyperlink"/>
            <w:rFonts w:cstheme="minorHAnsi"/>
          </w:rPr>
          <w:t>O. Reg. 364/20</w:t>
        </w:r>
      </w:hyperlink>
      <w:r w:rsidRPr="005A5023">
        <w:rPr>
          <w:rFonts w:cstheme="minorHAnsi"/>
        </w:rPr>
        <w:t xml:space="preserve">: </w:t>
      </w:r>
      <w:r>
        <w:rPr>
          <w:rFonts w:cstheme="minorHAnsi"/>
        </w:rPr>
        <w:t xml:space="preserve">Rules for Areas in Stage 3. </w:t>
      </w:r>
    </w:p>
  </w:footnote>
  <w:footnote w:id="5">
    <w:p w14:paraId="26D491DE" w14:textId="6FCA8974" w:rsidR="008D29E1" w:rsidRDefault="008D29E1">
      <w:pPr>
        <w:pStyle w:val="FootnoteText"/>
      </w:pPr>
      <w:r>
        <w:rPr>
          <w:rStyle w:val="FootnoteReference"/>
        </w:rPr>
        <w:footnoteRef/>
      </w:r>
      <w:r>
        <w:t xml:space="preserve"> RSO 1990 c 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6831F" w14:textId="7264AFF4" w:rsidR="00F82B0F" w:rsidRDefault="00322635" w:rsidP="000D2EFC">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64B5"/>
    <w:multiLevelType w:val="hybridMultilevel"/>
    <w:tmpl w:val="B032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4A79"/>
    <w:multiLevelType w:val="hybridMultilevel"/>
    <w:tmpl w:val="9696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7228D"/>
    <w:multiLevelType w:val="multilevel"/>
    <w:tmpl w:val="76E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E6D14"/>
    <w:multiLevelType w:val="hybridMultilevel"/>
    <w:tmpl w:val="DEC6D334"/>
    <w:lvl w:ilvl="0" w:tplc="5608F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40016"/>
    <w:multiLevelType w:val="hybridMultilevel"/>
    <w:tmpl w:val="1700A0CA"/>
    <w:lvl w:ilvl="0" w:tplc="AC20D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215DD"/>
    <w:multiLevelType w:val="hybridMultilevel"/>
    <w:tmpl w:val="E8FCAFA0"/>
    <w:lvl w:ilvl="0" w:tplc="5608F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B749D"/>
    <w:multiLevelType w:val="hybridMultilevel"/>
    <w:tmpl w:val="F77AC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607F50"/>
    <w:multiLevelType w:val="hybridMultilevel"/>
    <w:tmpl w:val="F59E5D12"/>
    <w:lvl w:ilvl="0" w:tplc="5608F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C6C3F"/>
    <w:multiLevelType w:val="hybridMultilevel"/>
    <w:tmpl w:val="E7A6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F16F1"/>
    <w:multiLevelType w:val="hybridMultilevel"/>
    <w:tmpl w:val="A9C69766"/>
    <w:lvl w:ilvl="0" w:tplc="5608F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C11F6"/>
    <w:multiLevelType w:val="hybridMultilevel"/>
    <w:tmpl w:val="D65C06D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CD36F4"/>
    <w:multiLevelType w:val="hybridMultilevel"/>
    <w:tmpl w:val="F078B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4C4FDF"/>
    <w:multiLevelType w:val="multilevel"/>
    <w:tmpl w:val="C634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0A56C6"/>
    <w:multiLevelType w:val="hybridMultilevel"/>
    <w:tmpl w:val="886A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257939"/>
    <w:multiLevelType w:val="hybridMultilevel"/>
    <w:tmpl w:val="A10C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14D0F"/>
    <w:multiLevelType w:val="hybridMultilevel"/>
    <w:tmpl w:val="43AC9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95F9E"/>
    <w:multiLevelType w:val="hybridMultilevel"/>
    <w:tmpl w:val="F466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66BFD"/>
    <w:multiLevelType w:val="hybridMultilevel"/>
    <w:tmpl w:val="4BF4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B389F"/>
    <w:multiLevelType w:val="hybridMultilevel"/>
    <w:tmpl w:val="C180F5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8B125F"/>
    <w:multiLevelType w:val="hybridMultilevel"/>
    <w:tmpl w:val="DC5A2B7E"/>
    <w:lvl w:ilvl="0" w:tplc="5608F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D66248"/>
    <w:multiLevelType w:val="hybridMultilevel"/>
    <w:tmpl w:val="62026090"/>
    <w:lvl w:ilvl="0" w:tplc="5608F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C37052"/>
    <w:multiLevelType w:val="hybridMultilevel"/>
    <w:tmpl w:val="97C87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D97C49"/>
    <w:multiLevelType w:val="hybridMultilevel"/>
    <w:tmpl w:val="B31E2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546D85"/>
    <w:multiLevelType w:val="hybridMultilevel"/>
    <w:tmpl w:val="D10095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4D37FA"/>
    <w:multiLevelType w:val="hybridMultilevel"/>
    <w:tmpl w:val="F06C023A"/>
    <w:lvl w:ilvl="0" w:tplc="E3D62D5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11"/>
  </w:num>
  <w:num w:numId="4">
    <w:abstractNumId w:val="13"/>
  </w:num>
  <w:num w:numId="5">
    <w:abstractNumId w:val="18"/>
  </w:num>
  <w:num w:numId="6">
    <w:abstractNumId w:val="16"/>
  </w:num>
  <w:num w:numId="7">
    <w:abstractNumId w:val="22"/>
  </w:num>
  <w:num w:numId="8">
    <w:abstractNumId w:val="6"/>
  </w:num>
  <w:num w:numId="9">
    <w:abstractNumId w:val="9"/>
  </w:num>
  <w:num w:numId="10">
    <w:abstractNumId w:val="24"/>
  </w:num>
  <w:num w:numId="11">
    <w:abstractNumId w:val="20"/>
  </w:num>
  <w:num w:numId="12">
    <w:abstractNumId w:val="5"/>
  </w:num>
  <w:num w:numId="13">
    <w:abstractNumId w:val="19"/>
  </w:num>
  <w:num w:numId="14">
    <w:abstractNumId w:val="8"/>
  </w:num>
  <w:num w:numId="15">
    <w:abstractNumId w:val="14"/>
  </w:num>
  <w:num w:numId="16">
    <w:abstractNumId w:val="1"/>
  </w:num>
  <w:num w:numId="17">
    <w:abstractNumId w:val="15"/>
  </w:num>
  <w:num w:numId="18">
    <w:abstractNumId w:val="0"/>
  </w:num>
  <w:num w:numId="19">
    <w:abstractNumId w:val="4"/>
  </w:num>
  <w:num w:numId="20">
    <w:abstractNumId w:val="12"/>
  </w:num>
  <w:num w:numId="21">
    <w:abstractNumId w:val="2"/>
  </w:num>
  <w:num w:numId="22">
    <w:abstractNumId w:val="3"/>
  </w:num>
  <w:num w:numId="23">
    <w:abstractNumId w:val="7"/>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5F"/>
    <w:rsid w:val="0003147E"/>
    <w:rsid w:val="00076E18"/>
    <w:rsid w:val="00081B82"/>
    <w:rsid w:val="00086285"/>
    <w:rsid w:val="000910E0"/>
    <w:rsid w:val="000C53D3"/>
    <w:rsid w:val="000C5ABD"/>
    <w:rsid w:val="000D2EFC"/>
    <w:rsid w:val="000E7AEB"/>
    <w:rsid w:val="000F0569"/>
    <w:rsid w:val="00101D40"/>
    <w:rsid w:val="00104D5A"/>
    <w:rsid w:val="00107921"/>
    <w:rsid w:val="00135B07"/>
    <w:rsid w:val="00186A06"/>
    <w:rsid w:val="001A41CD"/>
    <w:rsid w:val="001A6D3A"/>
    <w:rsid w:val="001D764A"/>
    <w:rsid w:val="001F0827"/>
    <w:rsid w:val="00216BE1"/>
    <w:rsid w:val="00237D12"/>
    <w:rsid w:val="00284C68"/>
    <w:rsid w:val="002B0ED9"/>
    <w:rsid w:val="002C4E4F"/>
    <w:rsid w:val="002E7B13"/>
    <w:rsid w:val="00315111"/>
    <w:rsid w:val="00322635"/>
    <w:rsid w:val="003468A5"/>
    <w:rsid w:val="00364C89"/>
    <w:rsid w:val="003C7A6F"/>
    <w:rsid w:val="003D52E8"/>
    <w:rsid w:val="003D667F"/>
    <w:rsid w:val="0042262F"/>
    <w:rsid w:val="00431253"/>
    <w:rsid w:val="00433425"/>
    <w:rsid w:val="00461FD5"/>
    <w:rsid w:val="0046442C"/>
    <w:rsid w:val="00481003"/>
    <w:rsid w:val="004C7A05"/>
    <w:rsid w:val="004C7E4F"/>
    <w:rsid w:val="004E7B12"/>
    <w:rsid w:val="00516F8C"/>
    <w:rsid w:val="00517796"/>
    <w:rsid w:val="00525D70"/>
    <w:rsid w:val="00564324"/>
    <w:rsid w:val="0057236A"/>
    <w:rsid w:val="005930E6"/>
    <w:rsid w:val="0059785D"/>
    <w:rsid w:val="005A5023"/>
    <w:rsid w:val="005E092F"/>
    <w:rsid w:val="005E1416"/>
    <w:rsid w:val="006161FC"/>
    <w:rsid w:val="0063426E"/>
    <w:rsid w:val="00664F6C"/>
    <w:rsid w:val="006833D3"/>
    <w:rsid w:val="006A4FCB"/>
    <w:rsid w:val="006C21C8"/>
    <w:rsid w:val="006F26DD"/>
    <w:rsid w:val="0070750F"/>
    <w:rsid w:val="00730CC0"/>
    <w:rsid w:val="00761264"/>
    <w:rsid w:val="00763062"/>
    <w:rsid w:val="00790788"/>
    <w:rsid w:val="00794FBB"/>
    <w:rsid w:val="007A5958"/>
    <w:rsid w:val="00824D63"/>
    <w:rsid w:val="00834B8F"/>
    <w:rsid w:val="0087737C"/>
    <w:rsid w:val="008A6C03"/>
    <w:rsid w:val="008A6FC6"/>
    <w:rsid w:val="008C11DC"/>
    <w:rsid w:val="008D29E1"/>
    <w:rsid w:val="0090138B"/>
    <w:rsid w:val="00907880"/>
    <w:rsid w:val="009748E1"/>
    <w:rsid w:val="009D7EA7"/>
    <w:rsid w:val="009E3AA0"/>
    <w:rsid w:val="00A066F8"/>
    <w:rsid w:val="00A24E10"/>
    <w:rsid w:val="00A33B76"/>
    <w:rsid w:val="00A42567"/>
    <w:rsid w:val="00A52718"/>
    <w:rsid w:val="00A560D8"/>
    <w:rsid w:val="00A93F98"/>
    <w:rsid w:val="00AC669E"/>
    <w:rsid w:val="00AE2D93"/>
    <w:rsid w:val="00AF337C"/>
    <w:rsid w:val="00B07BB8"/>
    <w:rsid w:val="00B2044E"/>
    <w:rsid w:val="00B476D1"/>
    <w:rsid w:val="00B665B1"/>
    <w:rsid w:val="00B765FB"/>
    <w:rsid w:val="00B771D5"/>
    <w:rsid w:val="00B82579"/>
    <w:rsid w:val="00B97B93"/>
    <w:rsid w:val="00BA35CD"/>
    <w:rsid w:val="00BB2409"/>
    <w:rsid w:val="00BC4ED0"/>
    <w:rsid w:val="00BD3E0A"/>
    <w:rsid w:val="00BF42AD"/>
    <w:rsid w:val="00C05443"/>
    <w:rsid w:val="00C53A0B"/>
    <w:rsid w:val="00C565A1"/>
    <w:rsid w:val="00C63E5F"/>
    <w:rsid w:val="00C81D66"/>
    <w:rsid w:val="00C93A93"/>
    <w:rsid w:val="00CA4FE4"/>
    <w:rsid w:val="00CD1076"/>
    <w:rsid w:val="00D60A2E"/>
    <w:rsid w:val="00D71B54"/>
    <w:rsid w:val="00D71E94"/>
    <w:rsid w:val="00D745F0"/>
    <w:rsid w:val="00D77CBD"/>
    <w:rsid w:val="00D93E3E"/>
    <w:rsid w:val="00DA7703"/>
    <w:rsid w:val="00DC2B1B"/>
    <w:rsid w:val="00DE7E80"/>
    <w:rsid w:val="00DF6D37"/>
    <w:rsid w:val="00E11E79"/>
    <w:rsid w:val="00E215DF"/>
    <w:rsid w:val="00E27146"/>
    <w:rsid w:val="00E32708"/>
    <w:rsid w:val="00E47286"/>
    <w:rsid w:val="00EA5BAE"/>
    <w:rsid w:val="00EC4E6C"/>
    <w:rsid w:val="00ED29D9"/>
    <w:rsid w:val="00F00EEC"/>
    <w:rsid w:val="00F0114B"/>
    <w:rsid w:val="00F106C9"/>
    <w:rsid w:val="00F1376F"/>
    <w:rsid w:val="00F518BA"/>
    <w:rsid w:val="00F566C4"/>
    <w:rsid w:val="00F82B0F"/>
    <w:rsid w:val="00F858D8"/>
    <w:rsid w:val="00F85AE2"/>
    <w:rsid w:val="00F879E2"/>
    <w:rsid w:val="00FD1342"/>
    <w:rsid w:val="00FD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9E8F9"/>
  <w15:chartTrackingRefBased/>
  <w15:docId w15:val="{A42262E5-8E14-4AF0-AD10-F2175F6F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6D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86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63E5F"/>
    <w:pPr>
      <w:ind w:left="720"/>
      <w:contextualSpacing/>
    </w:pPr>
  </w:style>
  <w:style w:type="paragraph" w:styleId="BalloonText">
    <w:name w:val="Balloon Text"/>
    <w:basedOn w:val="Normal"/>
    <w:link w:val="BalloonTextChar"/>
    <w:uiPriority w:val="99"/>
    <w:semiHidden/>
    <w:unhideWhenUsed/>
    <w:rsid w:val="0057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36A"/>
    <w:rPr>
      <w:rFonts w:ascii="Segoe UI" w:hAnsi="Segoe UI" w:cs="Segoe UI"/>
      <w:sz w:val="18"/>
      <w:szCs w:val="18"/>
    </w:rPr>
  </w:style>
  <w:style w:type="paragraph" w:styleId="Header">
    <w:name w:val="header"/>
    <w:basedOn w:val="Normal"/>
    <w:link w:val="HeaderChar"/>
    <w:unhideWhenUsed/>
    <w:rsid w:val="00F82B0F"/>
    <w:pPr>
      <w:tabs>
        <w:tab w:val="center" w:pos="4680"/>
        <w:tab w:val="right" w:pos="9360"/>
      </w:tabs>
      <w:spacing w:after="0" w:line="240" w:lineRule="auto"/>
    </w:pPr>
  </w:style>
  <w:style w:type="character" w:customStyle="1" w:styleId="HeaderChar">
    <w:name w:val="Header Char"/>
    <w:basedOn w:val="DefaultParagraphFont"/>
    <w:link w:val="Header"/>
    <w:rsid w:val="00F82B0F"/>
  </w:style>
  <w:style w:type="paragraph" w:styleId="Footer">
    <w:name w:val="footer"/>
    <w:basedOn w:val="Normal"/>
    <w:link w:val="FooterChar"/>
    <w:uiPriority w:val="99"/>
    <w:unhideWhenUsed/>
    <w:rsid w:val="00F82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B0F"/>
  </w:style>
  <w:style w:type="paragraph" w:styleId="BodyText">
    <w:name w:val="Body Text"/>
    <w:basedOn w:val="Normal"/>
    <w:link w:val="BodyTextChar"/>
    <w:uiPriority w:val="1"/>
    <w:qFormat/>
    <w:rsid w:val="00F82B0F"/>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82B0F"/>
    <w:rPr>
      <w:rFonts w:ascii="Times New Roman" w:eastAsia="Times New Roman" w:hAnsi="Times New Roman" w:cs="Times New Roman"/>
      <w:sz w:val="24"/>
      <w:szCs w:val="24"/>
    </w:rPr>
  </w:style>
  <w:style w:type="paragraph" w:styleId="NoSpacing">
    <w:name w:val="No Spacing"/>
    <w:uiPriority w:val="1"/>
    <w:qFormat/>
    <w:rsid w:val="00F82B0F"/>
    <w:pPr>
      <w:spacing w:after="0" w:line="240" w:lineRule="auto"/>
    </w:pPr>
    <w:rPr>
      <w:rFonts w:ascii="Calibri" w:eastAsia="Times New Roman" w:hAnsi="Calibri" w:cs="Times New Roman"/>
      <w:lang w:val="en-CA" w:eastAsia="en-CA"/>
    </w:rPr>
  </w:style>
  <w:style w:type="character" w:styleId="CommentReference">
    <w:name w:val="annotation reference"/>
    <w:basedOn w:val="DefaultParagraphFont"/>
    <w:uiPriority w:val="99"/>
    <w:semiHidden/>
    <w:unhideWhenUsed/>
    <w:rsid w:val="00B97B93"/>
    <w:rPr>
      <w:sz w:val="16"/>
      <w:szCs w:val="16"/>
    </w:rPr>
  </w:style>
  <w:style w:type="paragraph" w:styleId="CommentText">
    <w:name w:val="annotation text"/>
    <w:basedOn w:val="Normal"/>
    <w:link w:val="CommentTextChar"/>
    <w:uiPriority w:val="99"/>
    <w:semiHidden/>
    <w:unhideWhenUsed/>
    <w:rsid w:val="00B97B93"/>
    <w:pPr>
      <w:spacing w:line="240" w:lineRule="auto"/>
    </w:pPr>
    <w:rPr>
      <w:sz w:val="20"/>
      <w:szCs w:val="20"/>
    </w:rPr>
  </w:style>
  <w:style w:type="character" w:customStyle="1" w:styleId="CommentTextChar">
    <w:name w:val="Comment Text Char"/>
    <w:basedOn w:val="DefaultParagraphFont"/>
    <w:link w:val="CommentText"/>
    <w:uiPriority w:val="99"/>
    <w:semiHidden/>
    <w:rsid w:val="00B97B93"/>
    <w:rPr>
      <w:sz w:val="20"/>
      <w:szCs w:val="20"/>
    </w:rPr>
  </w:style>
  <w:style w:type="paragraph" w:styleId="CommentSubject">
    <w:name w:val="annotation subject"/>
    <w:basedOn w:val="CommentText"/>
    <w:next w:val="CommentText"/>
    <w:link w:val="CommentSubjectChar"/>
    <w:uiPriority w:val="99"/>
    <w:semiHidden/>
    <w:unhideWhenUsed/>
    <w:rsid w:val="00B97B93"/>
    <w:rPr>
      <w:b/>
      <w:bCs/>
    </w:rPr>
  </w:style>
  <w:style w:type="character" w:customStyle="1" w:styleId="CommentSubjectChar">
    <w:name w:val="Comment Subject Char"/>
    <w:basedOn w:val="CommentTextChar"/>
    <w:link w:val="CommentSubject"/>
    <w:uiPriority w:val="99"/>
    <w:semiHidden/>
    <w:rsid w:val="00B97B93"/>
    <w:rPr>
      <w:b/>
      <w:bCs/>
      <w:sz w:val="20"/>
      <w:szCs w:val="20"/>
    </w:rPr>
  </w:style>
  <w:style w:type="paragraph" w:customStyle="1" w:styleId="Default">
    <w:name w:val="Default"/>
    <w:rsid w:val="008A6FC6"/>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Normal"/>
    <w:link w:val="NormalChar"/>
    <w:autoRedefine/>
    <w:qFormat/>
    <w:rsid w:val="00135B07"/>
    <w:pPr>
      <w:spacing w:after="0" w:line="240" w:lineRule="auto"/>
    </w:pPr>
    <w:rPr>
      <w:rFonts w:eastAsia="Times New Roman" w:cstheme="minorHAnsi"/>
      <w:b/>
      <w:bCs/>
      <w:color w:val="000000"/>
      <w:szCs w:val="24"/>
      <w:lang w:val="x-none" w:eastAsia="x-none"/>
    </w:rPr>
  </w:style>
  <w:style w:type="character" w:customStyle="1" w:styleId="NormalChar">
    <w:name w:val="Normal Char"/>
    <w:link w:val="Normal1"/>
    <w:rsid w:val="00135B07"/>
    <w:rPr>
      <w:rFonts w:eastAsia="Times New Roman" w:cstheme="minorHAnsi"/>
      <w:b/>
      <w:bCs/>
      <w:color w:val="000000"/>
      <w:szCs w:val="24"/>
      <w:lang w:val="x-none" w:eastAsia="x-none"/>
    </w:rPr>
  </w:style>
  <w:style w:type="character" w:customStyle="1" w:styleId="Heading2Char">
    <w:name w:val="Heading 2 Char"/>
    <w:basedOn w:val="DefaultParagraphFont"/>
    <w:link w:val="Heading2"/>
    <w:uiPriority w:val="9"/>
    <w:rsid w:val="001A6D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6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8628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86285"/>
    <w:rPr>
      <w:b/>
      <w:bCs/>
    </w:rPr>
  </w:style>
  <w:style w:type="character" w:styleId="PageNumber">
    <w:name w:val="page number"/>
    <w:basedOn w:val="DefaultParagraphFont"/>
    <w:uiPriority w:val="99"/>
    <w:semiHidden/>
    <w:unhideWhenUsed/>
    <w:rsid w:val="00107921"/>
  </w:style>
  <w:style w:type="paragraph" w:styleId="FootnoteText">
    <w:name w:val="footnote text"/>
    <w:basedOn w:val="Normal"/>
    <w:link w:val="FootnoteTextChar"/>
    <w:uiPriority w:val="99"/>
    <w:semiHidden/>
    <w:unhideWhenUsed/>
    <w:rsid w:val="00E11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E79"/>
    <w:rPr>
      <w:sz w:val="20"/>
      <w:szCs w:val="20"/>
    </w:rPr>
  </w:style>
  <w:style w:type="character" w:styleId="FootnoteReference">
    <w:name w:val="footnote reference"/>
    <w:basedOn w:val="DefaultParagraphFont"/>
    <w:uiPriority w:val="99"/>
    <w:semiHidden/>
    <w:unhideWhenUsed/>
    <w:rsid w:val="00E11E79"/>
    <w:rPr>
      <w:vertAlign w:val="superscript"/>
    </w:rPr>
  </w:style>
  <w:style w:type="character" w:styleId="Hyperlink">
    <w:name w:val="Hyperlink"/>
    <w:basedOn w:val="DefaultParagraphFont"/>
    <w:uiPriority w:val="99"/>
    <w:unhideWhenUsed/>
    <w:rsid w:val="003C7A6F"/>
    <w:rPr>
      <w:color w:val="0563C1" w:themeColor="hyperlink"/>
      <w:u w:val="single"/>
    </w:rPr>
  </w:style>
  <w:style w:type="character" w:styleId="UnresolvedMention">
    <w:name w:val="Unresolved Mention"/>
    <w:basedOn w:val="DefaultParagraphFont"/>
    <w:uiPriority w:val="99"/>
    <w:semiHidden/>
    <w:unhideWhenUsed/>
    <w:rsid w:val="00F566C4"/>
    <w:rPr>
      <w:color w:val="605E5C"/>
      <w:shd w:val="clear" w:color="auto" w:fill="E1DFDD"/>
    </w:rPr>
  </w:style>
  <w:style w:type="paragraph" w:customStyle="1" w:styleId="TableParagraph">
    <w:name w:val="Table Paragraph"/>
    <w:basedOn w:val="Normal"/>
    <w:uiPriority w:val="1"/>
    <w:qFormat/>
    <w:rsid w:val="009D7EA7"/>
    <w:pPr>
      <w:widowControl w:val="0"/>
      <w:autoSpaceDE w:val="0"/>
      <w:autoSpaceDN w:val="0"/>
      <w:spacing w:after="0" w:line="240" w:lineRule="auto"/>
    </w:pPr>
    <w:rPr>
      <w:rFonts w:ascii="Tahoma" w:eastAsia="Tahoma" w:hAnsi="Tahoma" w:cs="Tahoma"/>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2053">
      <w:bodyDiv w:val="1"/>
      <w:marLeft w:val="0"/>
      <w:marRight w:val="0"/>
      <w:marTop w:val="0"/>
      <w:marBottom w:val="0"/>
      <w:divBdr>
        <w:top w:val="none" w:sz="0" w:space="0" w:color="auto"/>
        <w:left w:val="none" w:sz="0" w:space="0" w:color="auto"/>
        <w:bottom w:val="none" w:sz="0" w:space="0" w:color="auto"/>
        <w:right w:val="none" w:sz="0" w:space="0" w:color="auto"/>
      </w:divBdr>
    </w:div>
    <w:div w:id="284504567">
      <w:bodyDiv w:val="1"/>
      <w:marLeft w:val="0"/>
      <w:marRight w:val="0"/>
      <w:marTop w:val="0"/>
      <w:marBottom w:val="0"/>
      <w:divBdr>
        <w:top w:val="none" w:sz="0" w:space="0" w:color="auto"/>
        <w:left w:val="none" w:sz="0" w:space="0" w:color="auto"/>
        <w:bottom w:val="none" w:sz="0" w:space="0" w:color="auto"/>
        <w:right w:val="none" w:sz="0" w:space="0" w:color="auto"/>
      </w:divBdr>
    </w:div>
    <w:div w:id="338895661">
      <w:bodyDiv w:val="1"/>
      <w:marLeft w:val="0"/>
      <w:marRight w:val="0"/>
      <w:marTop w:val="0"/>
      <w:marBottom w:val="0"/>
      <w:divBdr>
        <w:top w:val="none" w:sz="0" w:space="0" w:color="auto"/>
        <w:left w:val="none" w:sz="0" w:space="0" w:color="auto"/>
        <w:bottom w:val="none" w:sz="0" w:space="0" w:color="auto"/>
        <w:right w:val="none" w:sz="0" w:space="0" w:color="auto"/>
      </w:divBdr>
    </w:div>
    <w:div w:id="417992755">
      <w:bodyDiv w:val="1"/>
      <w:marLeft w:val="0"/>
      <w:marRight w:val="0"/>
      <w:marTop w:val="0"/>
      <w:marBottom w:val="0"/>
      <w:divBdr>
        <w:top w:val="none" w:sz="0" w:space="0" w:color="auto"/>
        <w:left w:val="none" w:sz="0" w:space="0" w:color="auto"/>
        <w:bottom w:val="none" w:sz="0" w:space="0" w:color="auto"/>
        <w:right w:val="none" w:sz="0" w:space="0" w:color="auto"/>
      </w:divBdr>
    </w:div>
    <w:div w:id="503784288">
      <w:bodyDiv w:val="1"/>
      <w:marLeft w:val="0"/>
      <w:marRight w:val="0"/>
      <w:marTop w:val="0"/>
      <w:marBottom w:val="0"/>
      <w:divBdr>
        <w:top w:val="none" w:sz="0" w:space="0" w:color="auto"/>
        <w:left w:val="none" w:sz="0" w:space="0" w:color="auto"/>
        <w:bottom w:val="none" w:sz="0" w:space="0" w:color="auto"/>
        <w:right w:val="none" w:sz="0" w:space="0" w:color="auto"/>
      </w:divBdr>
    </w:div>
    <w:div w:id="549851943">
      <w:bodyDiv w:val="1"/>
      <w:marLeft w:val="0"/>
      <w:marRight w:val="0"/>
      <w:marTop w:val="0"/>
      <w:marBottom w:val="0"/>
      <w:divBdr>
        <w:top w:val="none" w:sz="0" w:space="0" w:color="auto"/>
        <w:left w:val="none" w:sz="0" w:space="0" w:color="auto"/>
        <w:bottom w:val="none" w:sz="0" w:space="0" w:color="auto"/>
        <w:right w:val="none" w:sz="0" w:space="0" w:color="auto"/>
      </w:divBdr>
    </w:div>
    <w:div w:id="597521573">
      <w:bodyDiv w:val="1"/>
      <w:marLeft w:val="0"/>
      <w:marRight w:val="0"/>
      <w:marTop w:val="0"/>
      <w:marBottom w:val="0"/>
      <w:divBdr>
        <w:top w:val="none" w:sz="0" w:space="0" w:color="auto"/>
        <w:left w:val="none" w:sz="0" w:space="0" w:color="auto"/>
        <w:bottom w:val="none" w:sz="0" w:space="0" w:color="auto"/>
        <w:right w:val="none" w:sz="0" w:space="0" w:color="auto"/>
      </w:divBdr>
    </w:div>
    <w:div w:id="631836089">
      <w:bodyDiv w:val="1"/>
      <w:marLeft w:val="0"/>
      <w:marRight w:val="0"/>
      <w:marTop w:val="0"/>
      <w:marBottom w:val="0"/>
      <w:divBdr>
        <w:top w:val="none" w:sz="0" w:space="0" w:color="auto"/>
        <w:left w:val="none" w:sz="0" w:space="0" w:color="auto"/>
        <w:bottom w:val="none" w:sz="0" w:space="0" w:color="auto"/>
        <w:right w:val="none" w:sz="0" w:space="0" w:color="auto"/>
      </w:divBdr>
    </w:div>
    <w:div w:id="716978134">
      <w:bodyDiv w:val="1"/>
      <w:marLeft w:val="0"/>
      <w:marRight w:val="0"/>
      <w:marTop w:val="0"/>
      <w:marBottom w:val="0"/>
      <w:divBdr>
        <w:top w:val="none" w:sz="0" w:space="0" w:color="auto"/>
        <w:left w:val="none" w:sz="0" w:space="0" w:color="auto"/>
        <w:bottom w:val="none" w:sz="0" w:space="0" w:color="auto"/>
        <w:right w:val="none" w:sz="0" w:space="0" w:color="auto"/>
      </w:divBdr>
    </w:div>
    <w:div w:id="1101604917">
      <w:bodyDiv w:val="1"/>
      <w:marLeft w:val="0"/>
      <w:marRight w:val="0"/>
      <w:marTop w:val="0"/>
      <w:marBottom w:val="0"/>
      <w:divBdr>
        <w:top w:val="none" w:sz="0" w:space="0" w:color="auto"/>
        <w:left w:val="none" w:sz="0" w:space="0" w:color="auto"/>
        <w:bottom w:val="none" w:sz="0" w:space="0" w:color="auto"/>
        <w:right w:val="none" w:sz="0" w:space="0" w:color="auto"/>
      </w:divBdr>
    </w:div>
    <w:div w:id="1138379887">
      <w:bodyDiv w:val="1"/>
      <w:marLeft w:val="0"/>
      <w:marRight w:val="0"/>
      <w:marTop w:val="0"/>
      <w:marBottom w:val="0"/>
      <w:divBdr>
        <w:top w:val="none" w:sz="0" w:space="0" w:color="auto"/>
        <w:left w:val="none" w:sz="0" w:space="0" w:color="auto"/>
        <w:bottom w:val="none" w:sz="0" w:space="0" w:color="auto"/>
        <w:right w:val="none" w:sz="0" w:space="0" w:color="auto"/>
      </w:divBdr>
    </w:div>
    <w:div w:id="1253515040">
      <w:bodyDiv w:val="1"/>
      <w:marLeft w:val="0"/>
      <w:marRight w:val="0"/>
      <w:marTop w:val="0"/>
      <w:marBottom w:val="0"/>
      <w:divBdr>
        <w:top w:val="none" w:sz="0" w:space="0" w:color="auto"/>
        <w:left w:val="none" w:sz="0" w:space="0" w:color="auto"/>
        <w:bottom w:val="none" w:sz="0" w:space="0" w:color="auto"/>
        <w:right w:val="none" w:sz="0" w:space="0" w:color="auto"/>
      </w:divBdr>
    </w:div>
    <w:div w:id="1316715268">
      <w:bodyDiv w:val="1"/>
      <w:marLeft w:val="0"/>
      <w:marRight w:val="0"/>
      <w:marTop w:val="0"/>
      <w:marBottom w:val="0"/>
      <w:divBdr>
        <w:top w:val="none" w:sz="0" w:space="0" w:color="auto"/>
        <w:left w:val="none" w:sz="0" w:space="0" w:color="auto"/>
        <w:bottom w:val="none" w:sz="0" w:space="0" w:color="auto"/>
        <w:right w:val="none" w:sz="0" w:space="0" w:color="auto"/>
      </w:divBdr>
    </w:div>
    <w:div w:id="1317297156">
      <w:bodyDiv w:val="1"/>
      <w:marLeft w:val="0"/>
      <w:marRight w:val="0"/>
      <w:marTop w:val="0"/>
      <w:marBottom w:val="0"/>
      <w:divBdr>
        <w:top w:val="none" w:sz="0" w:space="0" w:color="auto"/>
        <w:left w:val="none" w:sz="0" w:space="0" w:color="auto"/>
        <w:bottom w:val="none" w:sz="0" w:space="0" w:color="auto"/>
        <w:right w:val="none" w:sz="0" w:space="0" w:color="auto"/>
      </w:divBdr>
    </w:div>
    <w:div w:id="1366297311">
      <w:bodyDiv w:val="1"/>
      <w:marLeft w:val="0"/>
      <w:marRight w:val="0"/>
      <w:marTop w:val="0"/>
      <w:marBottom w:val="0"/>
      <w:divBdr>
        <w:top w:val="none" w:sz="0" w:space="0" w:color="auto"/>
        <w:left w:val="none" w:sz="0" w:space="0" w:color="auto"/>
        <w:bottom w:val="none" w:sz="0" w:space="0" w:color="auto"/>
        <w:right w:val="none" w:sz="0" w:space="0" w:color="auto"/>
      </w:divBdr>
    </w:div>
    <w:div w:id="1664042104">
      <w:bodyDiv w:val="1"/>
      <w:marLeft w:val="0"/>
      <w:marRight w:val="0"/>
      <w:marTop w:val="0"/>
      <w:marBottom w:val="0"/>
      <w:divBdr>
        <w:top w:val="none" w:sz="0" w:space="0" w:color="auto"/>
        <w:left w:val="none" w:sz="0" w:space="0" w:color="auto"/>
        <w:bottom w:val="none" w:sz="0" w:space="0" w:color="auto"/>
        <w:right w:val="none" w:sz="0" w:space="0" w:color="auto"/>
      </w:divBdr>
    </w:div>
    <w:div w:id="167792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tario.ca/laws/regulation/r20121" TargetMode="External"/><Relationship Id="rId18" Type="http://schemas.openxmlformats.org/officeDocument/2006/relationships/hyperlink" Target="https://www.mcss.gov.on.ca/en/mcss/CongregateCare.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ntario.ca/laws/regulation/r20177" TargetMode="External"/><Relationship Id="rId17" Type="http://schemas.openxmlformats.org/officeDocument/2006/relationships/hyperlink" Target="http://www.health.gov.on.ca/en/pro/programs/publichealth/coronavirus/docs/2019_congregate_living_guidance.pdf" TargetMode="External"/><Relationship Id="rId2" Type="http://schemas.openxmlformats.org/officeDocument/2006/relationships/numbering" Target="numbering.xml"/><Relationship Id="rId16" Type="http://schemas.openxmlformats.org/officeDocument/2006/relationships/hyperlink" Target="https://www.publichealthontario.ca/-/media/documents/ncov/cong/2020/05/covid-19-preparedness-prevention-congregate-living-settings.pdf?la=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tario.ca/laws/statute/90o01"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ntario.ca/laws/regulation/100299"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ontario.ca/laws/regulation/200263" TargetMode="External"/><Relationship Id="rId2" Type="http://schemas.openxmlformats.org/officeDocument/2006/relationships/hyperlink" Target="https://www.ontario.ca/laws/regulation/200082" TargetMode="External"/><Relationship Id="rId1" Type="http://schemas.openxmlformats.org/officeDocument/2006/relationships/hyperlink" Target="https://www.ontario.ca/laws/regulation/200363" TargetMode="External"/><Relationship Id="rId4" Type="http://schemas.openxmlformats.org/officeDocument/2006/relationships/hyperlink" Target="https://www.ontario.ca/laws/regulation/200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02EF-8B9B-427E-AAAF-4889B3E9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Fraser</dc:creator>
  <cp:keywords/>
  <dc:description/>
  <cp:lastModifiedBy>Mia Tremblay</cp:lastModifiedBy>
  <cp:revision>4</cp:revision>
  <cp:lastPrinted>2020-10-28T14:12:00Z</cp:lastPrinted>
  <dcterms:created xsi:type="dcterms:W3CDTF">2021-02-05T14:04:00Z</dcterms:created>
  <dcterms:modified xsi:type="dcterms:W3CDTF">2021-02-05T17:03:00Z</dcterms:modified>
</cp:coreProperties>
</file>